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56D" w:rsidRDefault="00FC256D" w:rsidP="00FC256D">
      <w:pPr>
        <w:ind w:firstLine="10773"/>
        <w:rPr>
          <w:sz w:val="28"/>
          <w:szCs w:val="28"/>
        </w:rPr>
      </w:pPr>
      <w:r>
        <w:rPr>
          <w:sz w:val="28"/>
          <w:szCs w:val="28"/>
        </w:rPr>
        <w:t>Приложение № 2</w:t>
      </w:r>
    </w:p>
    <w:p w:rsidR="00FC256D" w:rsidRDefault="00FC256D" w:rsidP="00FC256D">
      <w:pPr>
        <w:spacing w:before="240"/>
        <w:ind w:firstLine="10773"/>
      </w:pPr>
      <w:r>
        <w:rPr>
          <w:sz w:val="28"/>
          <w:szCs w:val="28"/>
        </w:rPr>
        <w:t>к Государственной программе</w:t>
      </w:r>
    </w:p>
    <w:p w:rsidR="00FC256D" w:rsidRDefault="00FC256D" w:rsidP="00FC256D">
      <w:pPr>
        <w:ind w:firstLine="12600"/>
        <w:rPr>
          <w:sz w:val="28"/>
          <w:szCs w:val="28"/>
        </w:rPr>
      </w:pPr>
    </w:p>
    <w:p w:rsidR="00FC256D" w:rsidRDefault="00FC256D" w:rsidP="00FC256D">
      <w:pPr>
        <w:jc w:val="center"/>
        <w:rPr>
          <w:b/>
          <w:sz w:val="28"/>
          <w:szCs w:val="28"/>
        </w:rPr>
      </w:pPr>
    </w:p>
    <w:p w:rsidR="00B85537" w:rsidRDefault="00B85537" w:rsidP="00FC256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МЕТОДИКА</w:t>
      </w:r>
      <w:r w:rsidR="00FC256D">
        <w:rPr>
          <w:b/>
          <w:sz w:val="28"/>
          <w:szCs w:val="28"/>
        </w:rPr>
        <w:t xml:space="preserve"> </w:t>
      </w:r>
    </w:p>
    <w:p w:rsidR="00FC256D" w:rsidRPr="006B7282" w:rsidRDefault="00FC256D" w:rsidP="00FB230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расчета </w:t>
      </w:r>
      <w:proofErr w:type="gramStart"/>
      <w:r>
        <w:rPr>
          <w:b/>
          <w:sz w:val="28"/>
          <w:szCs w:val="28"/>
        </w:rPr>
        <w:t xml:space="preserve">значений целевых показателей эффективности реализации </w:t>
      </w:r>
      <w:r w:rsidR="001B4D80">
        <w:rPr>
          <w:b/>
          <w:sz w:val="28"/>
          <w:szCs w:val="28"/>
        </w:rPr>
        <w:t>Г</w:t>
      </w:r>
      <w:r>
        <w:rPr>
          <w:b/>
          <w:sz w:val="28"/>
          <w:szCs w:val="28"/>
        </w:rPr>
        <w:t>осударственной программы</w:t>
      </w:r>
      <w:proofErr w:type="gramEnd"/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</w:p>
    <w:p w:rsidR="00A440BC" w:rsidRPr="00D556E6" w:rsidRDefault="00A440BC" w:rsidP="00FB2302">
      <w:pPr>
        <w:jc w:val="center"/>
        <w:rPr>
          <w:b/>
          <w:i/>
          <w:sz w:val="2"/>
          <w:szCs w:val="2"/>
        </w:rPr>
      </w:pPr>
    </w:p>
    <w:tbl>
      <w:tblPr>
        <w:tblW w:w="151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80"/>
        <w:gridCol w:w="5810"/>
        <w:gridCol w:w="8649"/>
      </w:tblGrid>
      <w:tr w:rsidR="00FC256D" w:rsidTr="00D556E6">
        <w:trPr>
          <w:tblHeader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56D" w:rsidRDefault="00FC256D" w:rsidP="00D556E6">
            <w:pPr>
              <w:jc w:val="center"/>
            </w:pPr>
            <w:r>
              <w:t>№</w:t>
            </w:r>
          </w:p>
          <w:p w:rsidR="00FC256D" w:rsidRDefault="00FC256D" w:rsidP="00D556E6">
            <w:pPr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56D" w:rsidRDefault="00FC256D" w:rsidP="00D556E6">
            <w:pPr>
              <w:jc w:val="center"/>
            </w:pPr>
            <w:r>
              <w:t xml:space="preserve">Наименование государственной программы, подпрограммы, отдельного мероприятия, проекта, </w:t>
            </w:r>
          </w:p>
          <w:p w:rsidR="00FC256D" w:rsidRDefault="00FC256D" w:rsidP="00D556E6">
            <w:pPr>
              <w:jc w:val="center"/>
              <w:rPr>
                <w:b/>
                <w:sz w:val="28"/>
                <w:szCs w:val="28"/>
              </w:rPr>
            </w:pPr>
            <w:r>
              <w:t>показателя</w:t>
            </w:r>
          </w:p>
        </w:tc>
        <w:tc>
          <w:tcPr>
            <w:tcW w:w="8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56D" w:rsidRDefault="00FC256D" w:rsidP="00D556E6">
            <w:pPr>
              <w:jc w:val="center"/>
            </w:pPr>
            <w:r>
              <w:t xml:space="preserve">Методика расчета значения показателя, </w:t>
            </w:r>
          </w:p>
          <w:p w:rsidR="00FC256D" w:rsidRDefault="00FC256D" w:rsidP="00D556E6">
            <w:pPr>
              <w:jc w:val="center"/>
            </w:pPr>
            <w:r>
              <w:t>источник получения информации</w:t>
            </w:r>
          </w:p>
        </w:tc>
      </w:tr>
      <w:tr w:rsidR="005E74CB" w:rsidTr="00D556E6">
        <w:tc>
          <w:tcPr>
            <w:tcW w:w="6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E74CB" w:rsidRDefault="005E74CB" w:rsidP="00D556E6">
            <w:pPr>
              <w:jc w:val="center"/>
            </w:pP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4CB" w:rsidRPr="003C3ADC" w:rsidRDefault="005E74CB" w:rsidP="00D556E6">
            <w:pPr>
              <w:snapToGrid w:val="0"/>
              <w:jc w:val="both"/>
              <w:rPr>
                <w:b/>
              </w:rPr>
            </w:pPr>
            <w:r w:rsidRPr="003C3ADC">
              <w:t>Государственная программа Кировской области «Управление государственными финансами и регулирование межбюджетных отношений»</w:t>
            </w:r>
          </w:p>
        </w:tc>
        <w:tc>
          <w:tcPr>
            <w:tcW w:w="8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4CB" w:rsidRPr="00B904B5" w:rsidRDefault="005E74CB" w:rsidP="00D556E6">
            <w:pPr>
              <w:snapToGrid w:val="0"/>
              <w:jc w:val="center"/>
            </w:pPr>
          </w:p>
        </w:tc>
      </w:tr>
      <w:tr w:rsidR="003B6ABC" w:rsidTr="00D556E6">
        <w:tc>
          <w:tcPr>
            <w:tcW w:w="680" w:type="dxa"/>
            <w:tcBorders>
              <w:left w:val="single" w:sz="4" w:space="0" w:color="000000"/>
            </w:tcBorders>
            <w:shd w:val="clear" w:color="auto" w:fill="auto"/>
          </w:tcPr>
          <w:p w:rsidR="003B6ABC" w:rsidRDefault="003B6ABC" w:rsidP="00D556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ABC" w:rsidRPr="00433B54" w:rsidRDefault="00B85537" w:rsidP="00D556E6">
            <w:pPr>
              <w:tabs>
                <w:tab w:val="num" w:pos="972"/>
                <w:tab w:val="num" w:pos="1260"/>
              </w:tabs>
              <w:autoSpaceDE w:val="0"/>
              <w:autoSpaceDN w:val="0"/>
              <w:adjustRightInd w:val="0"/>
              <w:jc w:val="both"/>
            </w:pPr>
            <w:r>
              <w:rPr>
                <w:rFonts w:eastAsiaTheme="minorHAnsi"/>
                <w:lang w:eastAsia="en-US"/>
              </w:rPr>
              <w:t>с</w:t>
            </w:r>
            <w:r w:rsidR="003B6ABC">
              <w:rPr>
                <w:rFonts w:eastAsiaTheme="minorHAnsi"/>
                <w:lang w:eastAsia="en-US"/>
              </w:rPr>
              <w:t xml:space="preserve">облюдение установленных законодательством требований к </w:t>
            </w:r>
            <w:r w:rsidR="0043095B">
              <w:rPr>
                <w:rFonts w:eastAsiaTheme="minorHAnsi"/>
                <w:lang w:eastAsia="en-US"/>
              </w:rPr>
              <w:t xml:space="preserve">структуре и содержанию законов об </w:t>
            </w:r>
            <w:r w:rsidR="003B6ABC">
              <w:rPr>
                <w:rFonts w:eastAsiaTheme="minorHAnsi"/>
                <w:lang w:eastAsia="en-US"/>
              </w:rPr>
              <w:t>областном бюджет</w:t>
            </w:r>
            <w:r w:rsidR="0043095B">
              <w:rPr>
                <w:rFonts w:eastAsiaTheme="minorHAnsi"/>
                <w:lang w:eastAsia="en-US"/>
              </w:rPr>
              <w:t>е</w:t>
            </w:r>
            <w:r w:rsidR="003B6ABC">
              <w:rPr>
                <w:rFonts w:eastAsiaTheme="minorHAnsi"/>
                <w:lang w:eastAsia="en-US"/>
              </w:rPr>
              <w:t xml:space="preserve"> и отчет</w:t>
            </w:r>
            <w:r w:rsidR="007D04C0">
              <w:rPr>
                <w:rFonts w:eastAsiaTheme="minorHAnsi"/>
                <w:lang w:eastAsia="en-US"/>
              </w:rPr>
              <w:t>ов</w:t>
            </w:r>
            <w:r w:rsidR="003B6ABC">
              <w:rPr>
                <w:rFonts w:eastAsiaTheme="minorHAnsi"/>
                <w:lang w:eastAsia="en-US"/>
              </w:rPr>
              <w:t xml:space="preserve"> о его исполнении</w:t>
            </w:r>
          </w:p>
        </w:tc>
        <w:tc>
          <w:tcPr>
            <w:tcW w:w="8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BC" w:rsidRPr="000664E6" w:rsidRDefault="00B85537" w:rsidP="00D556E6">
            <w:pPr>
              <w:ind w:firstLine="36"/>
              <w:jc w:val="both"/>
            </w:pPr>
            <w:r>
              <w:t>з</w:t>
            </w:r>
            <w:r w:rsidR="00A4159B">
              <w:t>начение п</w:t>
            </w:r>
            <w:r w:rsidR="000664E6">
              <w:t>оказател</w:t>
            </w:r>
            <w:r w:rsidR="00A4159B">
              <w:t>я</w:t>
            </w:r>
            <w:r w:rsidR="000664E6">
              <w:t xml:space="preserve"> определяется по данным министерства </w:t>
            </w:r>
          </w:p>
        </w:tc>
      </w:tr>
      <w:tr w:rsidR="001B4D80" w:rsidTr="00D556E6">
        <w:tc>
          <w:tcPr>
            <w:tcW w:w="680" w:type="dxa"/>
            <w:tcBorders>
              <w:left w:val="single" w:sz="4" w:space="0" w:color="000000"/>
            </w:tcBorders>
            <w:shd w:val="clear" w:color="auto" w:fill="auto"/>
          </w:tcPr>
          <w:p w:rsidR="001B4D80" w:rsidRDefault="001B4D80" w:rsidP="00D556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D80" w:rsidRDefault="00B85537" w:rsidP="00D556E6">
            <w:pPr>
              <w:tabs>
                <w:tab w:val="num" w:pos="972"/>
                <w:tab w:val="num" w:pos="1260"/>
              </w:tabs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</w:t>
            </w:r>
            <w:r w:rsidR="001B4D80" w:rsidRPr="001B4D80">
              <w:rPr>
                <w:rFonts w:eastAsiaTheme="minorHAnsi"/>
                <w:lang w:eastAsia="en-US"/>
              </w:rPr>
              <w:t>беспечен</w:t>
            </w:r>
            <w:r>
              <w:rPr>
                <w:rFonts w:eastAsiaTheme="minorHAnsi"/>
                <w:lang w:eastAsia="en-US"/>
              </w:rPr>
              <w:t>ие условий</w:t>
            </w:r>
            <w:r w:rsidR="001B4D80" w:rsidRPr="001B4D80">
              <w:rPr>
                <w:rFonts w:eastAsiaTheme="minorHAnsi"/>
                <w:lang w:eastAsia="en-US"/>
              </w:rPr>
              <w:t xml:space="preserve"> для реализации  муниципальными образованиями закрепленных федеральным законодательством полномочий</w:t>
            </w:r>
          </w:p>
        </w:tc>
        <w:tc>
          <w:tcPr>
            <w:tcW w:w="8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4D80" w:rsidRDefault="00B85537" w:rsidP="00D556E6">
            <w:pPr>
              <w:ind w:firstLine="36"/>
              <w:jc w:val="both"/>
            </w:pPr>
            <w:r>
              <w:t>з</w:t>
            </w:r>
            <w:r w:rsidR="001B4D80" w:rsidRPr="001B4D80">
              <w:t xml:space="preserve">начение показателя определяется по данным министерства </w:t>
            </w:r>
          </w:p>
        </w:tc>
      </w:tr>
      <w:tr w:rsidR="00A4159B" w:rsidRPr="00A4159B" w:rsidTr="00D556E6"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59B" w:rsidRPr="00A4159B" w:rsidRDefault="00A4159B" w:rsidP="00D556E6">
            <w:pPr>
              <w:jc w:val="center"/>
            </w:pP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59B" w:rsidRPr="00A4159B" w:rsidRDefault="00B85537" w:rsidP="00D556E6">
            <w:pPr>
              <w:jc w:val="both"/>
            </w:pPr>
            <w:r>
              <w:t>с</w:t>
            </w:r>
            <w:r w:rsidR="00A4159B" w:rsidRPr="00A4159B">
              <w:t>облюдение требований бюджетного законодательства в части установления единых нормативов отчислений</w:t>
            </w:r>
          </w:p>
        </w:tc>
        <w:tc>
          <w:tcPr>
            <w:tcW w:w="8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59B" w:rsidRPr="00A4159B" w:rsidRDefault="00B85537" w:rsidP="00D556E6">
            <w:pPr>
              <w:jc w:val="both"/>
            </w:pPr>
            <w:r>
              <w:t>з</w:t>
            </w:r>
            <w:r w:rsidR="00A4159B">
              <w:t>начение п</w:t>
            </w:r>
            <w:r w:rsidR="00A4159B" w:rsidRPr="00A4159B">
              <w:t>оказател</w:t>
            </w:r>
            <w:r w:rsidR="00A4159B">
              <w:t>я</w:t>
            </w:r>
            <w:r w:rsidR="00A4159B" w:rsidRPr="00A4159B">
              <w:t xml:space="preserve"> определяется по данным министерства </w:t>
            </w:r>
          </w:p>
        </w:tc>
      </w:tr>
      <w:tr w:rsidR="00D55A0F" w:rsidRPr="00A4159B" w:rsidTr="00D556E6">
        <w:tc>
          <w:tcPr>
            <w:tcW w:w="6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55A0F" w:rsidRPr="00A4159B" w:rsidRDefault="00D55A0F" w:rsidP="00D556E6">
            <w:pPr>
              <w:jc w:val="center"/>
            </w:pPr>
            <w:r>
              <w:t>1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5A0F" w:rsidRPr="00A4159B" w:rsidRDefault="00D55A0F" w:rsidP="00D556E6">
            <w:pPr>
              <w:jc w:val="both"/>
            </w:pPr>
            <w:r w:rsidRPr="00D55A0F">
              <w:t>Отдельное мероприятие «Составление проекта областного бюджета»</w:t>
            </w:r>
          </w:p>
        </w:tc>
        <w:tc>
          <w:tcPr>
            <w:tcW w:w="8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A0F" w:rsidRDefault="00D55A0F" w:rsidP="00D556E6">
            <w:pPr>
              <w:jc w:val="both"/>
            </w:pPr>
          </w:p>
        </w:tc>
      </w:tr>
      <w:tr w:rsidR="003B6ABC" w:rsidTr="00D556E6"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ABC" w:rsidRDefault="003B6ABC" w:rsidP="00D556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ABC" w:rsidRPr="00433B54" w:rsidRDefault="00B85537" w:rsidP="00D556E6">
            <w:pPr>
              <w:tabs>
                <w:tab w:val="num" w:pos="972"/>
                <w:tab w:val="num" w:pos="1260"/>
              </w:tabs>
              <w:autoSpaceDE w:val="0"/>
              <w:autoSpaceDN w:val="0"/>
              <w:adjustRightInd w:val="0"/>
              <w:jc w:val="both"/>
            </w:pPr>
            <w:r>
              <w:rPr>
                <w:rFonts w:eastAsiaTheme="minorHAnsi"/>
                <w:lang w:eastAsia="en-US"/>
              </w:rPr>
              <w:t>с</w:t>
            </w:r>
            <w:r w:rsidR="003B6ABC" w:rsidRPr="00791786">
              <w:rPr>
                <w:rFonts w:eastAsiaTheme="minorHAnsi"/>
                <w:lang w:eastAsia="en-US"/>
              </w:rPr>
              <w:t>оставление проекта областного бюджета в установленные сроки в соответствии с бюджетным законодательством</w:t>
            </w:r>
          </w:p>
        </w:tc>
        <w:tc>
          <w:tcPr>
            <w:tcW w:w="8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BC" w:rsidRDefault="00B85537" w:rsidP="00D556E6">
            <w:pPr>
              <w:jc w:val="both"/>
            </w:pPr>
            <w:r>
              <w:t>з</w:t>
            </w:r>
            <w:r w:rsidR="00A4159B">
              <w:t>начение п</w:t>
            </w:r>
            <w:r w:rsidR="000664E6">
              <w:t>оказател</w:t>
            </w:r>
            <w:r w:rsidR="00A4159B">
              <w:t>я</w:t>
            </w:r>
            <w:r w:rsidR="000664E6">
              <w:t xml:space="preserve"> определяется по данным министерства </w:t>
            </w:r>
          </w:p>
        </w:tc>
      </w:tr>
      <w:tr w:rsidR="00D55A0F" w:rsidTr="00D556E6">
        <w:tc>
          <w:tcPr>
            <w:tcW w:w="6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55A0F" w:rsidRDefault="00D55A0F" w:rsidP="00D556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5A0F" w:rsidRPr="00791786" w:rsidRDefault="00D55A0F" w:rsidP="00D556E6">
            <w:pPr>
              <w:tabs>
                <w:tab w:val="num" w:pos="972"/>
                <w:tab w:val="num" w:pos="1260"/>
              </w:tabs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D55A0F">
              <w:rPr>
                <w:rFonts w:eastAsiaTheme="minorHAnsi"/>
                <w:lang w:eastAsia="en-US"/>
              </w:rPr>
              <w:t>Отдельное мероприятие «Исполнение областного бюджета»</w:t>
            </w:r>
          </w:p>
        </w:tc>
        <w:tc>
          <w:tcPr>
            <w:tcW w:w="8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A0F" w:rsidRDefault="00D55A0F" w:rsidP="00D556E6">
            <w:pPr>
              <w:jc w:val="both"/>
            </w:pPr>
          </w:p>
        </w:tc>
      </w:tr>
      <w:tr w:rsidR="003B6ABC" w:rsidTr="00D556E6">
        <w:tc>
          <w:tcPr>
            <w:tcW w:w="680" w:type="dxa"/>
            <w:tcBorders>
              <w:left w:val="single" w:sz="4" w:space="0" w:color="000000"/>
            </w:tcBorders>
            <w:shd w:val="clear" w:color="auto" w:fill="auto"/>
          </w:tcPr>
          <w:p w:rsidR="003B6ABC" w:rsidRDefault="003B6ABC" w:rsidP="00D556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ABC" w:rsidRPr="00433B54" w:rsidRDefault="00B85537" w:rsidP="00D556E6">
            <w:pPr>
              <w:tabs>
                <w:tab w:val="num" w:pos="972"/>
                <w:tab w:val="num" w:pos="1260"/>
              </w:tabs>
              <w:autoSpaceDE w:val="0"/>
              <w:autoSpaceDN w:val="0"/>
              <w:adjustRightInd w:val="0"/>
              <w:jc w:val="both"/>
            </w:pPr>
            <w:r>
              <w:rPr>
                <w:rFonts w:eastAsiaTheme="minorHAnsi"/>
                <w:lang w:eastAsia="en-US"/>
              </w:rPr>
              <w:t>с</w:t>
            </w:r>
            <w:r w:rsidR="003B6ABC" w:rsidRPr="00791786">
              <w:rPr>
                <w:rFonts w:eastAsiaTheme="minorHAnsi"/>
                <w:lang w:eastAsia="en-US"/>
              </w:rPr>
              <w:t>облюдение сроков утверждения сводной бюджетной росписи областного бюджета</w:t>
            </w:r>
          </w:p>
        </w:tc>
        <w:tc>
          <w:tcPr>
            <w:tcW w:w="8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BC" w:rsidRDefault="00B85537" w:rsidP="00D556E6">
            <w:pPr>
              <w:jc w:val="both"/>
            </w:pPr>
            <w:r>
              <w:t>з</w:t>
            </w:r>
            <w:r w:rsidR="00A4159B">
              <w:t>начение п</w:t>
            </w:r>
            <w:r w:rsidR="000664E6">
              <w:t>оказател</w:t>
            </w:r>
            <w:r w:rsidR="00A4159B">
              <w:t>я</w:t>
            </w:r>
            <w:r w:rsidR="000664E6">
              <w:t xml:space="preserve"> определяется по данным министерства </w:t>
            </w:r>
          </w:p>
        </w:tc>
      </w:tr>
      <w:tr w:rsidR="003B6ABC" w:rsidTr="00D556E6"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ABC" w:rsidRDefault="003B6ABC" w:rsidP="00D556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ABC" w:rsidRPr="00433B54" w:rsidRDefault="00B85537" w:rsidP="00D556E6">
            <w:pPr>
              <w:tabs>
                <w:tab w:val="num" w:pos="972"/>
                <w:tab w:val="num" w:pos="1260"/>
              </w:tabs>
              <w:autoSpaceDE w:val="0"/>
              <w:autoSpaceDN w:val="0"/>
              <w:adjustRightInd w:val="0"/>
              <w:jc w:val="both"/>
            </w:pPr>
            <w:r>
              <w:rPr>
                <w:rFonts w:eastAsiaTheme="minorHAnsi"/>
                <w:lang w:eastAsia="en-US"/>
              </w:rPr>
              <w:t>с</w:t>
            </w:r>
            <w:r w:rsidR="003B6ABC" w:rsidRPr="00791786">
              <w:rPr>
                <w:rFonts w:eastAsiaTheme="minorHAnsi"/>
                <w:lang w:eastAsia="en-US"/>
              </w:rPr>
              <w:t xml:space="preserve">воевременное доведение лимитов бюджетных </w:t>
            </w:r>
            <w:r w:rsidR="003B6ABC" w:rsidRPr="00791786">
              <w:rPr>
                <w:rFonts w:eastAsiaTheme="minorHAnsi"/>
                <w:lang w:eastAsia="en-US"/>
              </w:rPr>
              <w:lastRenderedPageBreak/>
              <w:t>обязательств до главных распорядителей бюджетных средств</w:t>
            </w:r>
          </w:p>
        </w:tc>
        <w:tc>
          <w:tcPr>
            <w:tcW w:w="8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BC" w:rsidRDefault="00B85537" w:rsidP="00D556E6">
            <w:pPr>
              <w:jc w:val="both"/>
            </w:pPr>
            <w:r>
              <w:lastRenderedPageBreak/>
              <w:t>з</w:t>
            </w:r>
            <w:r w:rsidR="00A4159B">
              <w:t>начение п</w:t>
            </w:r>
            <w:r w:rsidR="000664E6">
              <w:t>оказател</w:t>
            </w:r>
            <w:r w:rsidR="00A4159B">
              <w:t>я</w:t>
            </w:r>
            <w:r w:rsidR="000664E6">
              <w:t xml:space="preserve"> определяется по данным министерства </w:t>
            </w:r>
          </w:p>
        </w:tc>
      </w:tr>
      <w:tr w:rsidR="00D55A0F" w:rsidTr="00D556E6">
        <w:tc>
          <w:tcPr>
            <w:tcW w:w="6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55A0F" w:rsidRDefault="00D55A0F" w:rsidP="00D556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5A0F" w:rsidRPr="00791786" w:rsidRDefault="00D55A0F" w:rsidP="00D556E6">
            <w:pPr>
              <w:tabs>
                <w:tab w:val="num" w:pos="972"/>
                <w:tab w:val="num" w:pos="1260"/>
              </w:tabs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D55A0F">
              <w:rPr>
                <w:rFonts w:eastAsiaTheme="minorHAnsi"/>
                <w:lang w:eastAsia="en-US"/>
              </w:rPr>
              <w:t>Отдельное мероприятие «Управление государственным долгом Кировской области»</w:t>
            </w:r>
          </w:p>
        </w:tc>
        <w:tc>
          <w:tcPr>
            <w:tcW w:w="8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A0F" w:rsidRDefault="00D55A0F" w:rsidP="00D556E6">
            <w:pPr>
              <w:jc w:val="both"/>
            </w:pPr>
          </w:p>
        </w:tc>
      </w:tr>
      <w:tr w:rsidR="00FC256D" w:rsidTr="004B71B9">
        <w:tc>
          <w:tcPr>
            <w:tcW w:w="680" w:type="dxa"/>
            <w:tcBorders>
              <w:left w:val="single" w:sz="4" w:space="0" w:color="000000"/>
            </w:tcBorders>
            <w:shd w:val="clear" w:color="auto" w:fill="auto"/>
          </w:tcPr>
          <w:p w:rsidR="00FC256D" w:rsidRDefault="00FC256D" w:rsidP="00D556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425B" w:rsidRPr="00433B54" w:rsidRDefault="00FB2302" w:rsidP="00D556E6">
            <w:pPr>
              <w:tabs>
                <w:tab w:val="num" w:pos="972"/>
                <w:tab w:val="num" w:pos="1260"/>
              </w:tabs>
              <w:autoSpaceDE w:val="0"/>
              <w:autoSpaceDN w:val="0"/>
              <w:adjustRightInd w:val="0"/>
              <w:jc w:val="both"/>
            </w:pPr>
            <w:r>
              <w:t>д</w:t>
            </w:r>
            <w:r w:rsidR="00433B54" w:rsidRPr="00433B54">
              <w:t xml:space="preserve">оля общего </w:t>
            </w:r>
            <w:r w:rsidR="00FB425B" w:rsidRPr="00433B54">
              <w:t xml:space="preserve">объема государственного долга Кировской области к общему объему доходов областного бюджета без учета объема безвозмездных поступлений </w:t>
            </w:r>
          </w:p>
          <w:p w:rsidR="00FC256D" w:rsidRPr="007138B3" w:rsidRDefault="00FC256D" w:rsidP="00D556E6">
            <w:pPr>
              <w:spacing w:line="360" w:lineRule="auto"/>
              <w:ind w:firstLine="709"/>
              <w:jc w:val="both"/>
            </w:pPr>
          </w:p>
        </w:tc>
        <w:tc>
          <w:tcPr>
            <w:tcW w:w="8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302" w:rsidRDefault="004B71B9" w:rsidP="00D556E6">
            <w:pPr>
              <w:ind w:firstLine="36"/>
              <w:jc w:val="both"/>
            </w:pPr>
            <w:r>
              <w:t>з</w:t>
            </w:r>
            <w:r w:rsidR="00FB2302">
              <w:t>начение показателя рассчитывается по формуле:</w:t>
            </w:r>
          </w:p>
          <w:p w:rsidR="00FB2302" w:rsidRDefault="00FB2302" w:rsidP="00D556E6">
            <w:pPr>
              <w:ind w:firstLine="36"/>
              <w:jc w:val="both"/>
            </w:pPr>
          </w:p>
          <w:p w:rsidR="00FB425B" w:rsidRPr="003C3ADC" w:rsidRDefault="00FB425B" w:rsidP="00D556E6">
            <w:pPr>
              <w:ind w:firstLine="709"/>
              <w:jc w:val="center"/>
            </w:pPr>
            <m:oMath>
              <m:r>
                <w:rPr>
                  <w:rFonts w:ascii="Cambria Math" w:hAnsi="Cambria Math" w:cs="Cambria Math"/>
                </w:rPr>
                <m:t>Огд</m:t>
              </m:r>
              <m:r>
                <m:rPr>
                  <m:sty m:val="p"/>
                </m:rPr>
                <w:rPr>
                  <w:rFonts w:ascii="Cambria Math" w:hAnsi="Cambria Math" w:cs="Cambria Math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 w:cs="Cambria Math"/>
                    </w:rPr>
                    <m:t>Гд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Cambria Math"/>
                    </w:rPr>
                    <m:t>Д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</w:rPr>
                <m:t xml:space="preserve"> х 100%,</m:t>
              </m:r>
            </m:oMath>
            <w:r w:rsidRPr="003C3ADC">
              <w:t xml:space="preserve"> где:</w:t>
            </w:r>
          </w:p>
          <w:p w:rsidR="00FB2302" w:rsidRDefault="00FB2302" w:rsidP="00D556E6">
            <w:pPr>
              <w:jc w:val="both"/>
            </w:pPr>
          </w:p>
          <w:p w:rsidR="00FB425B" w:rsidRPr="003C3ADC" w:rsidRDefault="00FB425B" w:rsidP="00D556E6">
            <w:pPr>
              <w:jc w:val="both"/>
            </w:pPr>
            <w:proofErr w:type="spellStart"/>
            <w:r w:rsidRPr="003C3ADC">
              <w:t>Огд</w:t>
            </w:r>
            <w:proofErr w:type="spellEnd"/>
            <w:r w:rsidRPr="003C3ADC">
              <w:t xml:space="preserve"> – </w:t>
            </w:r>
            <w:r w:rsidR="003C3ADC">
              <w:t>доля общего</w:t>
            </w:r>
            <w:r w:rsidRPr="003C3ADC">
              <w:t xml:space="preserve"> объема государственного долга Кировской области к общему объему доходов областного бюджета без учета объема безвозмездных поступлений</w:t>
            </w:r>
            <w:proofErr w:type="gramStart"/>
            <w:r w:rsidRPr="003C3ADC">
              <w:t xml:space="preserve"> (%);</w:t>
            </w:r>
            <w:proofErr w:type="gramEnd"/>
          </w:p>
          <w:p w:rsidR="00FB425B" w:rsidRPr="003C3ADC" w:rsidRDefault="00FB425B" w:rsidP="00D556E6">
            <w:pPr>
              <w:jc w:val="both"/>
            </w:pPr>
            <w:proofErr w:type="spellStart"/>
            <w:r w:rsidRPr="003C3ADC">
              <w:t>Гд</w:t>
            </w:r>
            <w:proofErr w:type="spellEnd"/>
            <w:r w:rsidRPr="003C3ADC">
              <w:t xml:space="preserve"> – объем государственного долга Кировской области в отчетном периоде согласно долговой книге Кировской области (тыс. рублей);</w:t>
            </w:r>
          </w:p>
          <w:p w:rsidR="00FC256D" w:rsidRPr="003C3ADC" w:rsidRDefault="00FB425B" w:rsidP="00D556E6">
            <w:pPr>
              <w:jc w:val="both"/>
            </w:pPr>
            <w:r w:rsidRPr="003C3ADC">
              <w:t>Д – объем доходов областного бюджета в отчетном периоде без учета объема безвозмездных поступлений согласно отчету об исполнении консолидированного бюджета субъекта Российской Федерации и бюджета территориального государственного внебюджетного фонда (тыс. рублей)</w:t>
            </w:r>
          </w:p>
        </w:tc>
      </w:tr>
      <w:tr w:rsidR="00E436E7" w:rsidTr="004B71B9">
        <w:tc>
          <w:tcPr>
            <w:tcW w:w="68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436E7" w:rsidRDefault="00E436E7" w:rsidP="00D556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6E7" w:rsidRPr="0076048E" w:rsidRDefault="00FB2302" w:rsidP="00D556E6">
            <w:pPr>
              <w:pStyle w:val="ConsPlusCell"/>
              <w:widowControl/>
              <w:tabs>
                <w:tab w:val="num" w:pos="915"/>
              </w:tabs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E436E7" w:rsidRPr="00E40846">
              <w:rPr>
                <w:rFonts w:ascii="Times New Roman" w:hAnsi="Times New Roman"/>
                <w:sz w:val="24"/>
                <w:szCs w:val="24"/>
              </w:rPr>
              <w:t xml:space="preserve">оля общего объема долговых </w:t>
            </w:r>
            <w:r w:rsidR="00E436E7">
              <w:rPr>
                <w:rFonts w:ascii="Times New Roman" w:hAnsi="Times New Roman"/>
                <w:sz w:val="24"/>
                <w:szCs w:val="24"/>
              </w:rPr>
              <w:t>о</w:t>
            </w:r>
            <w:r w:rsidR="00E436E7" w:rsidRPr="00E40846">
              <w:rPr>
                <w:rFonts w:ascii="Times New Roman" w:hAnsi="Times New Roman"/>
                <w:sz w:val="24"/>
                <w:szCs w:val="24"/>
              </w:rPr>
              <w:t>бязательств Кировской области по кредитам</w:t>
            </w:r>
            <w:r w:rsidR="00E436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436E7" w:rsidRPr="00E40846">
              <w:rPr>
                <w:rFonts w:ascii="Times New Roman" w:hAnsi="Times New Roman"/>
                <w:sz w:val="24"/>
                <w:szCs w:val="24"/>
              </w:rPr>
              <w:t>кредитных организаций</w:t>
            </w:r>
            <w:r w:rsidR="00E436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436E7" w:rsidRPr="00E40846">
              <w:rPr>
                <w:rFonts w:ascii="Times New Roman" w:hAnsi="Times New Roman"/>
                <w:sz w:val="24"/>
                <w:szCs w:val="24"/>
              </w:rPr>
              <w:t>и государственным</w:t>
            </w:r>
            <w:r w:rsidR="00E436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436E7" w:rsidRPr="00E40846">
              <w:rPr>
                <w:rFonts w:ascii="Times New Roman" w:hAnsi="Times New Roman"/>
                <w:sz w:val="24"/>
                <w:szCs w:val="24"/>
              </w:rPr>
              <w:t xml:space="preserve">ценным бумагам Кировской области к </w:t>
            </w:r>
            <w:r w:rsidR="00E436E7">
              <w:rPr>
                <w:rFonts w:ascii="Times New Roman" w:hAnsi="Times New Roman"/>
                <w:sz w:val="24"/>
                <w:szCs w:val="24"/>
              </w:rPr>
              <w:t xml:space="preserve">общему </w:t>
            </w:r>
            <w:r w:rsidR="00E436E7" w:rsidRPr="00E40846">
              <w:rPr>
                <w:rFonts w:ascii="Times New Roman" w:hAnsi="Times New Roman"/>
                <w:sz w:val="24"/>
                <w:szCs w:val="24"/>
              </w:rPr>
              <w:t xml:space="preserve">объему доходов областного бюджета без учета объема </w:t>
            </w:r>
            <w:r w:rsidR="00E436E7">
              <w:rPr>
                <w:rFonts w:ascii="Times New Roman" w:hAnsi="Times New Roman"/>
                <w:sz w:val="24"/>
                <w:szCs w:val="24"/>
              </w:rPr>
              <w:t>б</w:t>
            </w:r>
            <w:r w:rsidR="00E436E7" w:rsidRPr="00E40846">
              <w:rPr>
                <w:rFonts w:ascii="Times New Roman" w:hAnsi="Times New Roman"/>
                <w:sz w:val="24"/>
                <w:szCs w:val="24"/>
              </w:rPr>
              <w:t>езвозмездных поступлений</w:t>
            </w:r>
          </w:p>
        </w:tc>
        <w:tc>
          <w:tcPr>
            <w:tcW w:w="8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302" w:rsidRPr="00FB2302" w:rsidRDefault="004B71B9" w:rsidP="00D556E6">
            <w:pPr>
              <w:ind w:firstLine="36"/>
              <w:jc w:val="both"/>
            </w:pPr>
            <w:r>
              <w:t>з</w:t>
            </w:r>
            <w:r w:rsidR="00FB2302" w:rsidRPr="00FB2302">
              <w:t>начение показателя рассчитывается по формуле:</w:t>
            </w:r>
          </w:p>
          <w:p w:rsidR="00FB2302" w:rsidRDefault="00FB2302" w:rsidP="00D556E6">
            <w:pPr>
              <w:ind w:firstLine="709"/>
              <w:jc w:val="center"/>
            </w:pPr>
          </w:p>
          <w:p w:rsidR="00E436E7" w:rsidRPr="003C3ADC" w:rsidRDefault="00E436E7" w:rsidP="00D556E6">
            <w:pPr>
              <w:ind w:firstLine="709"/>
              <w:jc w:val="center"/>
            </w:pPr>
            <m:oMath>
              <m:r>
                <w:rPr>
                  <w:rFonts w:ascii="Cambria Math" w:hAnsi="Cambria Math" w:cs="Cambria Math"/>
                </w:rPr>
                <m:t>Одк</m:t>
              </m:r>
              <m:r>
                <m:rPr>
                  <m:sty m:val="p"/>
                </m:rPr>
                <w:rPr>
                  <w:rFonts w:ascii="Cambria Math" w:hAnsi="Cambria Math" w:cs="Cambria Math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 w:cs="Cambria Math"/>
                    </w:rPr>
                    <m:t>Дк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Cambria Math"/>
                    </w:rPr>
                    <m:t>Д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</w:rPr>
                <m:t xml:space="preserve"> х 100%,</m:t>
              </m:r>
            </m:oMath>
            <w:r w:rsidRPr="003C3ADC">
              <w:t xml:space="preserve"> где:</w:t>
            </w:r>
          </w:p>
          <w:p w:rsidR="00FB2302" w:rsidRDefault="00FB2302" w:rsidP="00D556E6">
            <w:pPr>
              <w:jc w:val="both"/>
            </w:pPr>
          </w:p>
          <w:p w:rsidR="00E436E7" w:rsidRPr="003C3ADC" w:rsidRDefault="00E436E7" w:rsidP="00D556E6">
            <w:pPr>
              <w:jc w:val="both"/>
            </w:pPr>
            <w:proofErr w:type="spellStart"/>
            <w:r w:rsidRPr="003C3ADC">
              <w:t>Од</w:t>
            </w:r>
            <w:r>
              <w:t>к</w:t>
            </w:r>
            <w:proofErr w:type="spellEnd"/>
            <w:r w:rsidRPr="003C3ADC">
              <w:t xml:space="preserve"> – </w:t>
            </w:r>
            <w:r>
              <w:t xml:space="preserve">доля </w:t>
            </w:r>
            <w:r w:rsidRPr="00E40846">
              <w:t xml:space="preserve">общего объема долговых </w:t>
            </w:r>
            <w:r>
              <w:t>о</w:t>
            </w:r>
            <w:r w:rsidRPr="00E40846">
              <w:t>бязательств Кировской области по кредитам</w:t>
            </w:r>
            <w:r>
              <w:t xml:space="preserve"> </w:t>
            </w:r>
            <w:r w:rsidRPr="00E40846">
              <w:t>кредитных организаций</w:t>
            </w:r>
            <w:r>
              <w:t xml:space="preserve"> </w:t>
            </w:r>
            <w:r w:rsidRPr="00E40846">
              <w:t>и государственным</w:t>
            </w:r>
            <w:r>
              <w:t xml:space="preserve"> </w:t>
            </w:r>
            <w:r w:rsidRPr="00E40846">
              <w:t xml:space="preserve">ценным бумагам Кировской области к </w:t>
            </w:r>
            <w:r w:rsidR="00C56289">
              <w:t xml:space="preserve">общему </w:t>
            </w:r>
            <w:r w:rsidRPr="00E40846">
              <w:t xml:space="preserve">объему доходов областного бюджета без учета объема </w:t>
            </w:r>
            <w:r>
              <w:t>б</w:t>
            </w:r>
            <w:r w:rsidRPr="00E40846">
              <w:t>езвозмездных поступлений</w:t>
            </w:r>
            <w:proofErr w:type="gramStart"/>
            <w:r w:rsidRPr="003C3ADC">
              <w:t xml:space="preserve"> (%);</w:t>
            </w:r>
            <w:proofErr w:type="gramEnd"/>
          </w:p>
          <w:p w:rsidR="00E436E7" w:rsidRPr="003C3ADC" w:rsidRDefault="00E436E7" w:rsidP="00D556E6">
            <w:pPr>
              <w:jc w:val="both"/>
            </w:pPr>
            <w:proofErr w:type="spellStart"/>
            <w:r>
              <w:t>Дк</w:t>
            </w:r>
            <w:proofErr w:type="spellEnd"/>
            <w:r w:rsidRPr="003C3ADC">
              <w:t xml:space="preserve"> – объем государственного долга Кировской области в отчетном периоде согласно долговой книге Кировской области (тыс. рублей);</w:t>
            </w:r>
          </w:p>
          <w:p w:rsidR="00E436E7" w:rsidRDefault="00E436E7" w:rsidP="00D556E6">
            <w:pPr>
              <w:jc w:val="both"/>
              <w:rPr>
                <w:sz w:val="28"/>
                <w:szCs w:val="28"/>
              </w:rPr>
            </w:pPr>
            <w:r w:rsidRPr="003C3ADC">
              <w:t>Д – объем доходов областного бюджета в отчетном периоде без учета объема безвозмездных поступлений согласно отчету об исполнении консолидированного бюджета субъекта Российской Федерации и бюджета территориального государственного внебюджетного фонда (тыс. рублей)</w:t>
            </w:r>
          </w:p>
        </w:tc>
      </w:tr>
      <w:tr w:rsidR="00FB425B" w:rsidTr="004B71B9">
        <w:tc>
          <w:tcPr>
            <w:tcW w:w="680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FB425B" w:rsidRDefault="00FB425B" w:rsidP="00D556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425B" w:rsidRPr="00433B54" w:rsidRDefault="00FB2302" w:rsidP="00D556E6">
            <w:pPr>
              <w:tabs>
                <w:tab w:val="num" w:pos="0"/>
              </w:tabs>
              <w:autoSpaceDE w:val="0"/>
              <w:autoSpaceDN w:val="0"/>
              <w:adjustRightInd w:val="0"/>
              <w:jc w:val="both"/>
            </w:pPr>
            <w:r>
              <w:t>о</w:t>
            </w:r>
            <w:r w:rsidR="00FB425B" w:rsidRPr="00433B54">
              <w:t xml:space="preserve">тношение объема расходов на обслуживание государственного долга Кировской области к общему объему расходов областного бюджета, за исключением объема расходов, которые осуществляются за счет субвенций, предоставляемых из федерального бюджета </w:t>
            </w:r>
          </w:p>
        </w:tc>
        <w:tc>
          <w:tcPr>
            <w:tcW w:w="8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302" w:rsidRPr="00FB2302" w:rsidRDefault="004B71B9" w:rsidP="00D556E6">
            <w:pPr>
              <w:ind w:firstLine="36"/>
              <w:jc w:val="both"/>
            </w:pPr>
            <w:r>
              <w:t>з</w:t>
            </w:r>
            <w:r w:rsidR="00FB2302" w:rsidRPr="00FB2302">
              <w:t>начение показателя рассчитывается по формуле:</w:t>
            </w:r>
          </w:p>
          <w:p w:rsidR="00FB2302" w:rsidRDefault="00FB2302" w:rsidP="00D556E6">
            <w:pPr>
              <w:ind w:firstLine="709"/>
              <w:jc w:val="center"/>
            </w:pPr>
          </w:p>
          <w:p w:rsidR="00FB425B" w:rsidRPr="00433B54" w:rsidRDefault="00FB425B" w:rsidP="00D556E6">
            <w:pPr>
              <w:ind w:firstLine="709"/>
              <w:jc w:val="center"/>
            </w:pPr>
            <m:oMath>
              <m:r>
                <w:rPr>
                  <w:rFonts w:ascii="Cambria Math" w:hAnsi="Cambria Math" w:cs="Cambria Math"/>
                </w:rPr>
                <m:t>Оргд</m:t>
              </m:r>
              <m:r>
                <m:rPr>
                  <m:sty m:val="p"/>
                </m:rPr>
                <w:rPr>
                  <w:rFonts w:ascii="Cambria Math" w:hAnsi="Cambria Math" w:cs="Cambria Math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 w:cs="Cambria Math"/>
                    </w:rPr>
                    <m:t>Ргд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Cambria Math"/>
                    </w:rPr>
                    <m:t>Р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</w:rPr>
                <m:t xml:space="preserve"> х 100%,</m:t>
              </m:r>
            </m:oMath>
            <w:r w:rsidRPr="00433B54">
              <w:t xml:space="preserve">  где:</w:t>
            </w:r>
          </w:p>
          <w:p w:rsidR="00D556E6" w:rsidRDefault="00D556E6" w:rsidP="00D556E6">
            <w:pPr>
              <w:ind w:firstLine="39"/>
              <w:jc w:val="both"/>
            </w:pPr>
          </w:p>
          <w:p w:rsidR="00FB425B" w:rsidRPr="00433B54" w:rsidRDefault="00FB425B" w:rsidP="00D556E6">
            <w:pPr>
              <w:ind w:firstLine="39"/>
              <w:jc w:val="both"/>
            </w:pPr>
            <w:proofErr w:type="spellStart"/>
            <w:r w:rsidRPr="00433B54">
              <w:t>Оргд</w:t>
            </w:r>
            <w:proofErr w:type="spellEnd"/>
            <w:r w:rsidRPr="00433B54">
              <w:t xml:space="preserve"> – отношение объема расходов на обслуживание государственного долга Кировской области к общему объему расходов областного бюджета, за исключением объема расходов, которые осуществляются за счет субвенций, предоставляемых из федерального бюджета</w:t>
            </w:r>
            <w:proofErr w:type="gramStart"/>
            <w:r w:rsidRPr="00433B54">
              <w:t xml:space="preserve"> (%);</w:t>
            </w:r>
            <w:proofErr w:type="gramEnd"/>
          </w:p>
          <w:p w:rsidR="00FB425B" w:rsidRPr="00433B54" w:rsidRDefault="00FB425B" w:rsidP="00D556E6">
            <w:pPr>
              <w:ind w:firstLine="39"/>
              <w:jc w:val="both"/>
            </w:pPr>
            <w:proofErr w:type="spellStart"/>
            <w:r w:rsidRPr="00433B54">
              <w:t>Ргд</w:t>
            </w:r>
            <w:proofErr w:type="spellEnd"/>
            <w:r w:rsidRPr="00433B54">
              <w:t xml:space="preserve"> – объем расходов на обслуживание государственного долга Кировской области в отчетном периоде согласно отчету об исполнении консолидированного бюджета субъекта Российской Федерации и бюджета территориального государственного внебюджетного фонда (тыс. рублей);</w:t>
            </w:r>
          </w:p>
          <w:p w:rsidR="00FB425B" w:rsidRPr="00433B54" w:rsidRDefault="00FB425B" w:rsidP="00D556E6">
            <w:pPr>
              <w:ind w:firstLine="39"/>
              <w:jc w:val="both"/>
            </w:pPr>
            <w:proofErr w:type="gramStart"/>
            <w:r w:rsidRPr="00433B54">
              <w:t>Р</w:t>
            </w:r>
            <w:proofErr w:type="gramEnd"/>
            <w:r w:rsidRPr="00433B54">
              <w:t xml:space="preserve"> – объем расходов областного бюджета в отчетном периоде, за исключением объема расходов, которые осуществляются за счет субвенций, предоставляемых из федерального бюджета, согласно отчету об исполнении консолидированного бюджета субъекта Российской Федерации и бюджета территориального государственного внебюджетного фонда (тыс. рублей)</w:t>
            </w:r>
          </w:p>
        </w:tc>
      </w:tr>
      <w:tr w:rsidR="00A4159B" w:rsidRPr="00A4159B" w:rsidTr="00D556E6"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59B" w:rsidRPr="00A4159B" w:rsidRDefault="00A4159B" w:rsidP="00D556E6">
            <w:pPr>
              <w:jc w:val="center"/>
            </w:pP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59B" w:rsidRPr="00A4159B" w:rsidRDefault="004B71B9" w:rsidP="00D556E6">
            <w:pPr>
              <w:jc w:val="both"/>
            </w:pPr>
            <w:r>
              <w:t>о</w:t>
            </w:r>
            <w:r w:rsidR="00A4159B" w:rsidRPr="00A4159B">
              <w:t>тсутствие просроченной задолженности по государственному долгу Кировской области</w:t>
            </w:r>
          </w:p>
        </w:tc>
        <w:tc>
          <w:tcPr>
            <w:tcW w:w="8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59B" w:rsidRPr="00A4159B" w:rsidRDefault="004B71B9" w:rsidP="004B71B9">
            <w:pPr>
              <w:jc w:val="both"/>
            </w:pPr>
            <w:r>
              <w:t>з</w:t>
            </w:r>
            <w:r w:rsidR="00A4159B" w:rsidRPr="00A4159B">
              <w:t xml:space="preserve">начение показателя определяется по данным министерства </w:t>
            </w:r>
          </w:p>
        </w:tc>
      </w:tr>
      <w:tr w:rsidR="00D55A0F" w:rsidRPr="00A4159B" w:rsidTr="00D556E6">
        <w:tc>
          <w:tcPr>
            <w:tcW w:w="6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55A0F" w:rsidRDefault="00D55A0F" w:rsidP="00D556E6">
            <w:pPr>
              <w:jc w:val="center"/>
            </w:pPr>
            <w:r>
              <w:t>4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5A0F" w:rsidRPr="00A4159B" w:rsidRDefault="00D55A0F" w:rsidP="00D556E6">
            <w:pPr>
              <w:jc w:val="both"/>
            </w:pPr>
            <w:r w:rsidRPr="00D55A0F">
              <w:t>Отдельное мероприятие «Нормативно-правовое, методическое и информационное обеспечение в сфере закупок»</w:t>
            </w:r>
          </w:p>
        </w:tc>
        <w:tc>
          <w:tcPr>
            <w:tcW w:w="8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A0F" w:rsidRPr="00A4159B" w:rsidRDefault="00D55A0F" w:rsidP="00D556E6">
            <w:pPr>
              <w:jc w:val="both"/>
            </w:pPr>
          </w:p>
        </w:tc>
      </w:tr>
      <w:tr w:rsidR="003B6ABC" w:rsidTr="00D556E6">
        <w:tc>
          <w:tcPr>
            <w:tcW w:w="680" w:type="dxa"/>
            <w:tcBorders>
              <w:left w:val="single" w:sz="4" w:space="0" w:color="000000"/>
            </w:tcBorders>
            <w:shd w:val="clear" w:color="auto" w:fill="auto"/>
          </w:tcPr>
          <w:p w:rsidR="003B6ABC" w:rsidRPr="003B6ABC" w:rsidRDefault="003B6ABC" w:rsidP="00D556E6">
            <w:pPr>
              <w:jc w:val="center"/>
            </w:pP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ABC" w:rsidRPr="003B6ABC" w:rsidRDefault="00FB2302" w:rsidP="00D556E6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B6ABC" w:rsidRPr="003B6ABC">
              <w:rPr>
                <w:rFonts w:ascii="Times New Roman" w:hAnsi="Times New Roman" w:cs="Times New Roman"/>
                <w:sz w:val="24"/>
                <w:szCs w:val="24"/>
              </w:rPr>
              <w:t>ктуализация нормативных правовых актов по реализации законодательства о контрактной системе в сфере закупок, в случае внесения изменений в законодательство о контрактной системе в сфере закупок</w:t>
            </w:r>
          </w:p>
        </w:tc>
        <w:tc>
          <w:tcPr>
            <w:tcW w:w="8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BC" w:rsidRDefault="00FB2302" w:rsidP="00D556E6">
            <w:pPr>
              <w:jc w:val="both"/>
            </w:pPr>
            <w:r>
              <w:t>з</w:t>
            </w:r>
            <w:r w:rsidR="00A4159B">
              <w:t>начение п</w:t>
            </w:r>
            <w:r w:rsidR="000664E6">
              <w:t>оказател</w:t>
            </w:r>
            <w:r w:rsidR="00A4159B">
              <w:t>я</w:t>
            </w:r>
            <w:r w:rsidR="000664E6">
              <w:t xml:space="preserve"> определяется по данным министерства </w:t>
            </w:r>
          </w:p>
        </w:tc>
      </w:tr>
      <w:tr w:rsidR="003B6ABC" w:rsidTr="00D556E6"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ABC" w:rsidRPr="003B6ABC" w:rsidRDefault="003B6ABC" w:rsidP="00D556E6">
            <w:pPr>
              <w:jc w:val="center"/>
            </w:pP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ABC" w:rsidRPr="003B6ABC" w:rsidRDefault="00FB2302" w:rsidP="00D556E6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3B6ABC" w:rsidRPr="003B6ABC">
              <w:rPr>
                <w:rFonts w:ascii="Times New Roman" w:hAnsi="Times New Roman" w:cs="Times New Roman"/>
                <w:sz w:val="24"/>
                <w:szCs w:val="24"/>
              </w:rPr>
              <w:t xml:space="preserve">оличество мероприятий, проведенных для областных, муниципальных заказчиков, участников закупок по вопросам применения законодательства о контрактной системе в сфере закупок  </w:t>
            </w:r>
          </w:p>
        </w:tc>
        <w:tc>
          <w:tcPr>
            <w:tcW w:w="8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BC" w:rsidRDefault="00FB2302" w:rsidP="00D556E6">
            <w:pPr>
              <w:jc w:val="both"/>
            </w:pPr>
            <w:r>
              <w:t>з</w:t>
            </w:r>
            <w:r w:rsidR="00A4159B">
              <w:t>начение п</w:t>
            </w:r>
            <w:r w:rsidR="000664E6">
              <w:t>оказател</w:t>
            </w:r>
            <w:r w:rsidR="00A4159B">
              <w:t>я</w:t>
            </w:r>
            <w:r w:rsidR="000664E6">
              <w:t xml:space="preserve"> определяется по данным министерства </w:t>
            </w:r>
          </w:p>
        </w:tc>
      </w:tr>
      <w:tr w:rsidR="00D55A0F" w:rsidTr="00D556E6">
        <w:tc>
          <w:tcPr>
            <w:tcW w:w="6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55A0F" w:rsidRDefault="00D55A0F" w:rsidP="00D556E6">
            <w:pPr>
              <w:jc w:val="center"/>
            </w:pPr>
            <w:r>
              <w:lastRenderedPageBreak/>
              <w:t>5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5A0F" w:rsidRPr="003B6ABC" w:rsidRDefault="00D55A0F" w:rsidP="00D556E6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5A0F">
              <w:rPr>
                <w:rFonts w:ascii="Times New Roman" w:hAnsi="Times New Roman" w:cs="Times New Roman"/>
                <w:sz w:val="24"/>
                <w:szCs w:val="24"/>
              </w:rPr>
              <w:t>Отдельное мероприятие «Составление бюджетной отчетности об исполнении областного  бюджета»</w:t>
            </w:r>
          </w:p>
        </w:tc>
        <w:tc>
          <w:tcPr>
            <w:tcW w:w="8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A0F" w:rsidRDefault="00D55A0F" w:rsidP="00D556E6">
            <w:pPr>
              <w:jc w:val="both"/>
            </w:pPr>
          </w:p>
        </w:tc>
      </w:tr>
      <w:tr w:rsidR="003B6ABC" w:rsidTr="00D556E6"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ABC" w:rsidRPr="00081950" w:rsidRDefault="003B6ABC" w:rsidP="00D556E6">
            <w:pPr>
              <w:jc w:val="center"/>
            </w:pP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ABC" w:rsidRPr="003B6ABC" w:rsidRDefault="00FB2302" w:rsidP="00D556E6">
            <w:pPr>
              <w:pStyle w:val="ConsPlusCell"/>
              <w:widowControl/>
              <w:tabs>
                <w:tab w:val="num" w:pos="915"/>
              </w:tabs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</w:t>
            </w:r>
            <w:r w:rsidR="003B6ABC" w:rsidRPr="003B6AB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оставление годового отчета об исполнении областного бюджета в установленный срок</w:t>
            </w:r>
          </w:p>
        </w:tc>
        <w:tc>
          <w:tcPr>
            <w:tcW w:w="8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BC" w:rsidRDefault="00FB2302" w:rsidP="00D556E6">
            <w:pPr>
              <w:jc w:val="both"/>
            </w:pPr>
            <w:r>
              <w:t>з</w:t>
            </w:r>
            <w:r w:rsidR="00081950">
              <w:t>начение п</w:t>
            </w:r>
            <w:r w:rsidR="00BC47B4">
              <w:t>оказател</w:t>
            </w:r>
            <w:r w:rsidR="00081950">
              <w:t>я</w:t>
            </w:r>
            <w:r w:rsidR="00BC47B4">
              <w:t xml:space="preserve"> определяется по данным министерства </w:t>
            </w:r>
          </w:p>
        </w:tc>
      </w:tr>
      <w:tr w:rsidR="00D55A0F" w:rsidTr="00D556E6">
        <w:tc>
          <w:tcPr>
            <w:tcW w:w="6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55A0F" w:rsidRDefault="00D55A0F" w:rsidP="00D556E6">
            <w:pPr>
              <w:jc w:val="center"/>
            </w:pPr>
            <w:r>
              <w:t>6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5A0F" w:rsidRPr="003B6ABC" w:rsidRDefault="00D55A0F" w:rsidP="00D556E6">
            <w:pPr>
              <w:pStyle w:val="ConsPlusCell"/>
              <w:widowControl/>
              <w:tabs>
                <w:tab w:val="num" w:pos="915"/>
              </w:tabs>
              <w:ind w:firstLine="34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55A0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Отдельное мероприятие «Осуществление </w:t>
            </w:r>
            <w:proofErr w:type="gramStart"/>
            <w:r w:rsidRPr="00D55A0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контроля за</w:t>
            </w:r>
            <w:proofErr w:type="gramEnd"/>
            <w:r w:rsidRPr="00D55A0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исполнением областного бюджета»</w:t>
            </w:r>
          </w:p>
        </w:tc>
        <w:tc>
          <w:tcPr>
            <w:tcW w:w="8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A0F" w:rsidRDefault="00D55A0F" w:rsidP="00D556E6">
            <w:pPr>
              <w:jc w:val="both"/>
            </w:pPr>
          </w:p>
        </w:tc>
      </w:tr>
      <w:tr w:rsidR="00A4159B" w:rsidRPr="00A4159B" w:rsidTr="00D556E6">
        <w:tc>
          <w:tcPr>
            <w:tcW w:w="680" w:type="dxa"/>
            <w:tcBorders>
              <w:left w:val="single" w:sz="4" w:space="0" w:color="000000"/>
            </w:tcBorders>
            <w:shd w:val="clear" w:color="auto" w:fill="auto"/>
          </w:tcPr>
          <w:p w:rsidR="00A4159B" w:rsidRPr="00081950" w:rsidRDefault="00A4159B" w:rsidP="00D556E6">
            <w:pPr>
              <w:jc w:val="center"/>
            </w:pP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59B" w:rsidRPr="009E5FDA" w:rsidRDefault="00FB2302" w:rsidP="00D556E6">
            <w:pPr>
              <w:jc w:val="both"/>
            </w:pPr>
            <w:r>
              <w:t>у</w:t>
            </w:r>
            <w:r w:rsidR="00A4159B" w:rsidRPr="009E5FDA">
              <w:t>дельный вес проведенных министерством контрольных мероприятий по внутреннему государственному финансовому контролю к общему числу запланированных мероприятий</w:t>
            </w:r>
          </w:p>
        </w:tc>
        <w:tc>
          <w:tcPr>
            <w:tcW w:w="8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302" w:rsidRPr="00FB2302" w:rsidRDefault="004B71B9" w:rsidP="00D556E6">
            <w:pPr>
              <w:jc w:val="both"/>
            </w:pPr>
            <w:r>
              <w:t>з</w:t>
            </w:r>
            <w:r w:rsidR="00FB2302" w:rsidRPr="00FB2302">
              <w:t>начение показателя рассчитывается по формуле:</w:t>
            </w:r>
          </w:p>
          <w:p w:rsidR="00FB2302" w:rsidRDefault="00FB2302" w:rsidP="00D556E6">
            <w:pPr>
              <w:jc w:val="center"/>
            </w:pPr>
          </w:p>
          <w:p w:rsidR="00A4159B" w:rsidRPr="00A4159B" w:rsidRDefault="00A4159B" w:rsidP="00D556E6">
            <w:pPr>
              <w:jc w:val="center"/>
              <w:rPr>
                <w:sz w:val="28"/>
                <w:szCs w:val="28"/>
              </w:rPr>
            </w:pPr>
            <m:oMath>
              <m:r>
                <w:rPr>
                  <w:rFonts w:ascii="Cambria Math" w:hAnsi="Cambria Math"/>
                </w:rPr>
                <m:t>Пкр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Кф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Кп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</w:rPr>
                <m:t xml:space="preserve"> х 100%,  </m:t>
              </m:r>
            </m:oMath>
            <w:r w:rsidRPr="00A4159B">
              <w:rPr>
                <w:sz w:val="28"/>
                <w:szCs w:val="28"/>
              </w:rPr>
              <w:t>где:</w:t>
            </w:r>
          </w:p>
          <w:p w:rsidR="00FB2302" w:rsidRDefault="00FB2302" w:rsidP="00D556E6">
            <w:pPr>
              <w:jc w:val="both"/>
            </w:pPr>
          </w:p>
          <w:p w:rsidR="00A4159B" w:rsidRPr="009E5FDA" w:rsidRDefault="00A4159B" w:rsidP="00D556E6">
            <w:pPr>
              <w:jc w:val="both"/>
            </w:pPr>
            <w:proofErr w:type="spellStart"/>
            <w:r w:rsidRPr="009E5FDA">
              <w:t>Пкр</w:t>
            </w:r>
            <w:proofErr w:type="spellEnd"/>
            <w:r w:rsidRPr="009E5FDA">
              <w:t xml:space="preserve"> – удельный вес проведенных министерством контрольных мероприятий по внутреннему государственному финансовому контролю к общему числу запланированных мероприятий</w:t>
            </w:r>
            <w:proofErr w:type="gramStart"/>
            <w:r w:rsidRPr="009E5FDA">
              <w:t xml:space="preserve"> (%); </w:t>
            </w:r>
            <w:proofErr w:type="gramEnd"/>
          </w:p>
          <w:p w:rsidR="00A4159B" w:rsidRPr="009E5FDA" w:rsidRDefault="00A4159B" w:rsidP="00D556E6">
            <w:pPr>
              <w:jc w:val="both"/>
              <w:rPr>
                <w:bCs/>
              </w:rPr>
            </w:pPr>
            <w:proofErr w:type="spellStart"/>
            <w:r w:rsidRPr="009E5FDA">
              <w:rPr>
                <w:bCs/>
              </w:rPr>
              <w:t>Кф</w:t>
            </w:r>
            <w:proofErr w:type="spellEnd"/>
            <w:r w:rsidRPr="009E5FDA">
              <w:rPr>
                <w:bCs/>
              </w:rPr>
              <w:t xml:space="preserve"> – количество проведенных министерством контрольных мероприятий в отчетном периоде,</w:t>
            </w:r>
            <w:r w:rsidRPr="009E5FDA">
              <w:t xml:space="preserve"> согласно сведениям министерства </w:t>
            </w:r>
            <w:r w:rsidRPr="009E5FDA">
              <w:rPr>
                <w:bCs/>
              </w:rPr>
              <w:t xml:space="preserve">(единиц); </w:t>
            </w:r>
            <w:r w:rsidRPr="009E5FDA">
              <w:t xml:space="preserve">   </w:t>
            </w:r>
          </w:p>
          <w:p w:rsidR="00A4159B" w:rsidRPr="00A4159B" w:rsidRDefault="00A4159B" w:rsidP="00D556E6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 w:rsidRPr="009E5FDA">
              <w:rPr>
                <w:bCs/>
              </w:rPr>
              <w:t>Кп</w:t>
            </w:r>
            <w:proofErr w:type="spellEnd"/>
            <w:r w:rsidRPr="009E5FDA">
              <w:rPr>
                <w:bCs/>
              </w:rPr>
              <w:t xml:space="preserve"> – количество контрольных мероприятий, утвержденных годовым планом контрольной работы министерства на соответствующий год, </w:t>
            </w:r>
            <w:r w:rsidRPr="009E5FDA">
              <w:t xml:space="preserve"> согласно сведениям министерства </w:t>
            </w:r>
            <w:r w:rsidRPr="009E5FDA">
              <w:rPr>
                <w:bCs/>
              </w:rPr>
              <w:t>(единиц)</w:t>
            </w:r>
            <w:r w:rsidRPr="009E5FDA">
              <w:t xml:space="preserve"> </w:t>
            </w:r>
          </w:p>
        </w:tc>
      </w:tr>
      <w:tr w:rsidR="00A4159B" w:rsidRPr="00A4159B" w:rsidTr="00D556E6">
        <w:tc>
          <w:tcPr>
            <w:tcW w:w="680" w:type="dxa"/>
            <w:tcBorders>
              <w:left w:val="single" w:sz="4" w:space="0" w:color="000000"/>
            </w:tcBorders>
            <w:shd w:val="clear" w:color="auto" w:fill="auto"/>
          </w:tcPr>
          <w:p w:rsidR="00A4159B" w:rsidRPr="00081950" w:rsidRDefault="00A4159B" w:rsidP="00D556E6">
            <w:pPr>
              <w:jc w:val="center"/>
            </w:pP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59B" w:rsidRPr="009E5FDA" w:rsidRDefault="00FB2302" w:rsidP="00D556E6">
            <w:pPr>
              <w:jc w:val="both"/>
            </w:pPr>
            <w:r>
              <w:t>д</w:t>
            </w:r>
            <w:r w:rsidR="00A4159B" w:rsidRPr="009E5FDA">
              <w:t>оля контрольных мероприятий, по результатам которых объектом контроля усовершенствована правовая база</w:t>
            </w:r>
          </w:p>
        </w:tc>
        <w:tc>
          <w:tcPr>
            <w:tcW w:w="8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302" w:rsidRPr="00FB2302" w:rsidRDefault="004B71B9" w:rsidP="00D556E6">
            <w:pPr>
              <w:jc w:val="both"/>
            </w:pPr>
            <w:r>
              <w:t>з</w:t>
            </w:r>
            <w:r w:rsidR="00FB2302" w:rsidRPr="00FB2302">
              <w:t>начение показателя рассчитывается по формуле:</w:t>
            </w:r>
          </w:p>
          <w:p w:rsidR="00FB2302" w:rsidRDefault="00FB2302" w:rsidP="00D556E6">
            <w:pPr>
              <w:jc w:val="center"/>
            </w:pPr>
          </w:p>
          <w:p w:rsidR="00A4159B" w:rsidRPr="00A4159B" w:rsidRDefault="00A4159B" w:rsidP="00D556E6">
            <w:pPr>
              <w:jc w:val="center"/>
              <w:rPr>
                <w:sz w:val="28"/>
                <w:szCs w:val="28"/>
              </w:rPr>
            </w:pPr>
            <m:oMath>
              <m:r>
                <w:rPr>
                  <w:rFonts w:ascii="Cambria Math" w:hAnsi="Cambria Math"/>
                </w:rPr>
                <m:t>П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Пф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Пп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</w:rPr>
                <m:t xml:space="preserve"> х 100%,</m:t>
              </m:r>
            </m:oMath>
            <w:r w:rsidRPr="00A4159B">
              <w:rPr>
                <w:sz w:val="28"/>
                <w:szCs w:val="28"/>
              </w:rPr>
              <w:t xml:space="preserve"> </w:t>
            </w:r>
            <w:r w:rsidRPr="00FB2302">
              <w:t>где:</w:t>
            </w:r>
          </w:p>
          <w:p w:rsidR="00FB2302" w:rsidRDefault="00FB2302" w:rsidP="00D556E6">
            <w:pPr>
              <w:jc w:val="both"/>
            </w:pPr>
          </w:p>
          <w:p w:rsidR="00A4159B" w:rsidRPr="009E5FDA" w:rsidRDefault="00A4159B" w:rsidP="00D556E6">
            <w:pPr>
              <w:jc w:val="both"/>
            </w:pPr>
            <w:proofErr w:type="gramStart"/>
            <w:r w:rsidRPr="009E5FDA">
              <w:t>П</w:t>
            </w:r>
            <w:proofErr w:type="gramEnd"/>
            <w:r w:rsidRPr="009E5FDA">
              <w:t xml:space="preserve"> </w:t>
            </w:r>
            <w:r w:rsidR="00FB2302">
              <w:t>–</w:t>
            </w:r>
            <w:r w:rsidRPr="009E5FDA">
              <w:t xml:space="preserve"> доля контрольных мероприятий, по результатам которых объектом контроля усовершенствована правовая база (%);</w:t>
            </w:r>
          </w:p>
          <w:p w:rsidR="00A4159B" w:rsidRPr="009E5FDA" w:rsidRDefault="00A4159B" w:rsidP="00D556E6">
            <w:pPr>
              <w:jc w:val="both"/>
            </w:pPr>
            <w:proofErr w:type="spellStart"/>
            <w:r w:rsidRPr="009E5FDA">
              <w:t>Пф</w:t>
            </w:r>
            <w:proofErr w:type="spellEnd"/>
            <w:r w:rsidRPr="009E5FDA">
              <w:t xml:space="preserve"> </w:t>
            </w:r>
            <w:r w:rsidR="00FB2302">
              <w:t>–</w:t>
            </w:r>
            <w:r w:rsidRPr="009E5FDA">
              <w:t xml:space="preserve"> количество проведенных контрольных мероприятий, по результатам, которых объектом контроля усовершенствована правовая база, согласно сведениям министерства (единиц); </w:t>
            </w:r>
          </w:p>
          <w:p w:rsidR="00A4159B" w:rsidRPr="00A4159B" w:rsidRDefault="00FB2302" w:rsidP="00D556E6">
            <w:pPr>
              <w:jc w:val="both"/>
              <w:rPr>
                <w:sz w:val="28"/>
                <w:szCs w:val="28"/>
              </w:rPr>
            </w:pPr>
            <w:proofErr w:type="spellStart"/>
            <w:r>
              <w:t>Пп</w:t>
            </w:r>
            <w:proofErr w:type="spellEnd"/>
            <w:r>
              <w:t xml:space="preserve"> –</w:t>
            </w:r>
            <w:r w:rsidR="00A4159B" w:rsidRPr="009E5FDA">
              <w:t xml:space="preserve"> количество проведенных контрольных мероприятий на конец отчетного периода реализация, которых, требует принятия мер по устранению,  согласно сведениям министерства (единиц)</w:t>
            </w:r>
            <w:r w:rsidR="00A4159B" w:rsidRPr="00A4159B">
              <w:rPr>
                <w:sz w:val="28"/>
                <w:szCs w:val="28"/>
              </w:rPr>
              <w:t xml:space="preserve">  </w:t>
            </w:r>
          </w:p>
        </w:tc>
      </w:tr>
      <w:tr w:rsidR="0082063D" w:rsidRPr="0082063D" w:rsidTr="00D556E6">
        <w:tc>
          <w:tcPr>
            <w:tcW w:w="680" w:type="dxa"/>
            <w:tcBorders>
              <w:left w:val="single" w:sz="4" w:space="0" w:color="000000"/>
            </w:tcBorders>
            <w:shd w:val="clear" w:color="auto" w:fill="auto"/>
          </w:tcPr>
          <w:p w:rsidR="0082063D" w:rsidRPr="0082063D" w:rsidRDefault="0082063D" w:rsidP="00D556E6">
            <w:pPr>
              <w:jc w:val="center"/>
            </w:pP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063D" w:rsidRPr="0082063D" w:rsidRDefault="00FB2302" w:rsidP="00D556E6">
            <w:pPr>
              <w:jc w:val="both"/>
            </w:pPr>
            <w:r>
              <w:t>о</w:t>
            </w:r>
            <w:r w:rsidR="0082063D" w:rsidRPr="0082063D">
              <w:t xml:space="preserve">тношение количества проведенных мероприятий по </w:t>
            </w:r>
            <w:r w:rsidR="0082063D" w:rsidRPr="0082063D">
              <w:lastRenderedPageBreak/>
              <w:t xml:space="preserve">контролю в сфере закупок, предусмотренному </w:t>
            </w:r>
            <w:r>
              <w:br/>
            </w:r>
            <w:hyperlink r:id="rId8" w:history="1">
              <w:r w:rsidR="0082063D" w:rsidRPr="005A308C">
                <w:rPr>
                  <w:rStyle w:val="a9"/>
                  <w:color w:val="000000" w:themeColor="text1"/>
                  <w:u w:val="none"/>
                </w:rPr>
                <w:t>частью 3 стать</w:t>
              </w:r>
              <w:r w:rsidR="0082063D" w:rsidRPr="005A308C">
                <w:rPr>
                  <w:rStyle w:val="a9"/>
                  <w:color w:val="000000" w:themeColor="text1"/>
                  <w:u w:val="none"/>
                </w:rPr>
                <w:t>и</w:t>
              </w:r>
              <w:r w:rsidR="0082063D" w:rsidRPr="005A308C">
                <w:rPr>
                  <w:rStyle w:val="a9"/>
                  <w:color w:val="000000" w:themeColor="text1"/>
                  <w:u w:val="none"/>
                </w:rPr>
                <w:t xml:space="preserve"> 99</w:t>
              </w:r>
            </w:hyperlink>
            <w:r w:rsidR="0082063D" w:rsidRPr="005A308C">
              <w:rPr>
                <w:color w:val="000000" w:themeColor="text1"/>
              </w:rPr>
              <w:t xml:space="preserve"> </w:t>
            </w:r>
            <w:r w:rsidR="0082063D" w:rsidRPr="0082063D">
              <w:t>Федерального закона от 05.04.2013 № 44-ФЗ, к количеству запланированных мероприятий</w:t>
            </w:r>
          </w:p>
        </w:tc>
        <w:tc>
          <w:tcPr>
            <w:tcW w:w="8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302" w:rsidRPr="00FB2302" w:rsidRDefault="004B71B9" w:rsidP="00D556E6">
            <w:pPr>
              <w:jc w:val="both"/>
            </w:pPr>
            <w:r>
              <w:lastRenderedPageBreak/>
              <w:t>з</w:t>
            </w:r>
            <w:r w:rsidR="00FB2302" w:rsidRPr="00FB2302">
              <w:t>начение показателя рассчитывается по формуле:</w:t>
            </w:r>
          </w:p>
          <w:p w:rsidR="00FB2302" w:rsidRPr="00A46DD4" w:rsidRDefault="00FB2302" w:rsidP="00D556E6">
            <w:pPr>
              <w:jc w:val="center"/>
              <w:rPr>
                <w:sz w:val="20"/>
                <w:szCs w:val="20"/>
              </w:rPr>
            </w:pPr>
          </w:p>
          <w:p w:rsidR="0082063D" w:rsidRPr="0082063D" w:rsidRDefault="0082063D" w:rsidP="00D556E6">
            <w:pPr>
              <w:jc w:val="center"/>
            </w:pPr>
            <m:oMath>
              <m:r>
                <w:rPr>
                  <w:rFonts w:ascii="Cambria Math" w:hAnsi="Cambria Math"/>
                </w:rPr>
                <m:t>К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Кф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Кп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</w:rPr>
                <m:t xml:space="preserve"> х 100%,</m:t>
              </m:r>
            </m:oMath>
            <w:r w:rsidRPr="0082063D">
              <w:t xml:space="preserve">  где:</w:t>
            </w:r>
          </w:p>
          <w:p w:rsidR="00FB2302" w:rsidRDefault="00FB2302" w:rsidP="00D556E6">
            <w:pPr>
              <w:jc w:val="both"/>
            </w:pPr>
          </w:p>
          <w:p w:rsidR="0082063D" w:rsidRPr="005A308C" w:rsidRDefault="0082063D" w:rsidP="00D556E6">
            <w:pPr>
              <w:jc w:val="both"/>
              <w:rPr>
                <w:color w:val="000000" w:themeColor="text1"/>
              </w:rPr>
            </w:pPr>
            <w:proofErr w:type="gramStart"/>
            <w:r w:rsidRPr="0082063D">
              <w:t xml:space="preserve">К – </w:t>
            </w:r>
            <w:r w:rsidRPr="005A308C">
              <w:rPr>
                <w:color w:val="000000" w:themeColor="text1"/>
              </w:rPr>
              <w:t xml:space="preserve">отношение количества проведенных мероприятий по контролю в сфере закупок, предусмотренному </w:t>
            </w:r>
            <w:hyperlink r:id="rId9" w:history="1">
              <w:r w:rsidRPr="005A308C">
                <w:rPr>
                  <w:rStyle w:val="a9"/>
                  <w:color w:val="000000" w:themeColor="text1"/>
                  <w:u w:val="none"/>
                </w:rPr>
                <w:t>частью 3 статьи 99</w:t>
              </w:r>
            </w:hyperlink>
            <w:r w:rsidRPr="005A308C">
              <w:rPr>
                <w:color w:val="000000" w:themeColor="text1"/>
              </w:rPr>
              <w:t xml:space="preserve"> Федерального закона </w:t>
            </w:r>
            <w:r w:rsidR="00883F7B" w:rsidRPr="005A308C">
              <w:rPr>
                <w:color w:val="000000" w:themeColor="text1"/>
              </w:rPr>
              <w:br/>
            </w:r>
            <w:r w:rsidRPr="005A308C">
              <w:rPr>
                <w:color w:val="000000" w:themeColor="text1"/>
              </w:rPr>
              <w:t>от 05.04.2013 № 44-ФЗ, к количеству запланированных мероприятий</w:t>
            </w:r>
            <w:r w:rsidRPr="005A308C">
              <w:rPr>
                <w:bCs/>
                <w:color w:val="000000" w:themeColor="text1"/>
              </w:rPr>
              <w:t xml:space="preserve"> (%);</w:t>
            </w:r>
            <w:proofErr w:type="gramEnd"/>
          </w:p>
          <w:p w:rsidR="0082063D" w:rsidRPr="005A308C" w:rsidRDefault="0082063D" w:rsidP="00D556E6">
            <w:pPr>
              <w:jc w:val="both"/>
              <w:rPr>
                <w:color w:val="000000" w:themeColor="text1"/>
              </w:rPr>
            </w:pPr>
            <w:proofErr w:type="spellStart"/>
            <w:r w:rsidRPr="005A308C">
              <w:rPr>
                <w:color w:val="000000" w:themeColor="text1"/>
              </w:rPr>
              <w:t>К</w:t>
            </w:r>
            <w:r w:rsidRPr="005A308C">
              <w:rPr>
                <w:color w:val="000000" w:themeColor="text1"/>
                <w:vertAlign w:val="subscript"/>
              </w:rPr>
              <w:t>ф</w:t>
            </w:r>
            <w:proofErr w:type="spellEnd"/>
            <w:r w:rsidRPr="005A308C">
              <w:rPr>
                <w:color w:val="000000" w:themeColor="text1"/>
              </w:rPr>
              <w:t xml:space="preserve"> – количество проведенных мероприятий по контролю в сфере закупок, предусмотренному </w:t>
            </w:r>
            <w:hyperlink r:id="rId10" w:history="1">
              <w:r w:rsidRPr="005A308C">
                <w:rPr>
                  <w:rStyle w:val="a9"/>
                  <w:color w:val="000000" w:themeColor="text1"/>
                  <w:u w:val="none"/>
                </w:rPr>
                <w:t>частью 3 статьи 99</w:t>
              </w:r>
            </w:hyperlink>
            <w:r w:rsidRPr="005A308C">
              <w:rPr>
                <w:color w:val="000000" w:themeColor="text1"/>
              </w:rPr>
              <w:t xml:space="preserve"> Федерального закона от 05.04.2013 </w:t>
            </w:r>
            <w:r w:rsidRPr="005A308C">
              <w:rPr>
                <w:color w:val="000000" w:themeColor="text1"/>
              </w:rPr>
              <w:br/>
              <w:t>№ 44-ФЗ (единиц),  согласно сведениям министерства;</w:t>
            </w:r>
          </w:p>
          <w:p w:rsidR="0082063D" w:rsidRPr="0082063D" w:rsidRDefault="0082063D" w:rsidP="00D556E6">
            <w:pPr>
              <w:jc w:val="both"/>
            </w:pPr>
            <w:proofErr w:type="spellStart"/>
            <w:r w:rsidRPr="005A308C">
              <w:rPr>
                <w:color w:val="000000" w:themeColor="text1"/>
              </w:rPr>
              <w:t>К</w:t>
            </w:r>
            <w:r w:rsidRPr="005A308C">
              <w:rPr>
                <w:color w:val="000000" w:themeColor="text1"/>
                <w:vertAlign w:val="subscript"/>
              </w:rPr>
              <w:t>п</w:t>
            </w:r>
            <w:proofErr w:type="spellEnd"/>
            <w:r w:rsidRPr="005A308C">
              <w:rPr>
                <w:color w:val="000000" w:themeColor="text1"/>
              </w:rPr>
              <w:t xml:space="preserve"> – количеств</w:t>
            </w:r>
            <w:r w:rsidR="00473164" w:rsidRPr="005A308C">
              <w:rPr>
                <w:color w:val="000000" w:themeColor="text1"/>
              </w:rPr>
              <w:t>о</w:t>
            </w:r>
            <w:r w:rsidRPr="005A308C">
              <w:rPr>
                <w:color w:val="000000" w:themeColor="text1"/>
              </w:rPr>
              <w:t xml:space="preserve"> мероприятий по контролю в сфере закупок, предусмотренному </w:t>
            </w:r>
            <w:hyperlink r:id="rId11" w:history="1">
              <w:r w:rsidRPr="005A308C">
                <w:rPr>
                  <w:rStyle w:val="a9"/>
                  <w:color w:val="000000" w:themeColor="text1"/>
                  <w:u w:val="none"/>
                </w:rPr>
                <w:t>частью 3 статьи 99</w:t>
              </w:r>
            </w:hyperlink>
            <w:r w:rsidRPr="005A308C">
              <w:rPr>
                <w:color w:val="000000" w:themeColor="text1"/>
              </w:rPr>
              <w:t xml:space="preserve"> Федерального </w:t>
            </w:r>
            <w:r w:rsidRPr="0082063D">
              <w:t>закона от 05.04.2013 № 44-ФЗ, запланированных планом контрольных мероприятий в сфере закупок (еди</w:t>
            </w:r>
            <w:r w:rsidR="009D3588">
              <w:t>н</w:t>
            </w:r>
            <w:r w:rsidRPr="0082063D">
              <w:t xml:space="preserve">иц), согласно сведениям министерства </w:t>
            </w:r>
          </w:p>
        </w:tc>
      </w:tr>
      <w:tr w:rsidR="0082063D" w:rsidRPr="0082063D" w:rsidTr="00D556E6">
        <w:tc>
          <w:tcPr>
            <w:tcW w:w="680" w:type="dxa"/>
            <w:tcBorders>
              <w:left w:val="single" w:sz="4" w:space="0" w:color="000000"/>
            </w:tcBorders>
            <w:shd w:val="clear" w:color="auto" w:fill="auto"/>
          </w:tcPr>
          <w:p w:rsidR="0082063D" w:rsidRPr="005A308C" w:rsidRDefault="0082063D" w:rsidP="00D556E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063D" w:rsidRPr="005A308C" w:rsidRDefault="00FB2302" w:rsidP="00D556E6">
            <w:pPr>
              <w:jc w:val="both"/>
              <w:rPr>
                <w:color w:val="000000" w:themeColor="text1"/>
              </w:rPr>
            </w:pPr>
            <w:r w:rsidRPr="005A308C">
              <w:rPr>
                <w:color w:val="000000" w:themeColor="text1"/>
              </w:rPr>
              <w:t>о</w:t>
            </w:r>
            <w:r w:rsidR="0082063D" w:rsidRPr="005A308C">
              <w:rPr>
                <w:color w:val="000000" w:themeColor="text1"/>
              </w:rPr>
              <w:t>тношение количества проведенных мероприятий по контролю в сфере закупок, предусмотренному</w:t>
            </w:r>
            <w:r w:rsidRPr="005A308C">
              <w:rPr>
                <w:color w:val="000000" w:themeColor="text1"/>
              </w:rPr>
              <w:br/>
            </w:r>
            <w:r w:rsidR="0082063D" w:rsidRPr="005A308C">
              <w:rPr>
                <w:color w:val="000000" w:themeColor="text1"/>
              </w:rPr>
              <w:t xml:space="preserve"> </w:t>
            </w:r>
            <w:hyperlink r:id="rId12" w:history="1">
              <w:r w:rsidR="0082063D" w:rsidRPr="005A308C">
                <w:rPr>
                  <w:rStyle w:val="a9"/>
                  <w:color w:val="000000" w:themeColor="text1"/>
                  <w:u w:val="none"/>
                </w:rPr>
                <w:t>частью 8 статьи 99</w:t>
              </w:r>
            </w:hyperlink>
            <w:r w:rsidR="0082063D" w:rsidRPr="005A308C">
              <w:rPr>
                <w:color w:val="000000" w:themeColor="text1"/>
              </w:rPr>
              <w:t xml:space="preserve"> Федерального закона от 05.04.2013 № 44-ФЗ, к количеству запланированных мероприятий</w:t>
            </w:r>
          </w:p>
        </w:tc>
        <w:tc>
          <w:tcPr>
            <w:tcW w:w="8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302" w:rsidRPr="00FB2302" w:rsidRDefault="004B71B9" w:rsidP="00D556E6">
            <w:pPr>
              <w:jc w:val="both"/>
            </w:pPr>
            <w:r>
              <w:t>з</w:t>
            </w:r>
            <w:r w:rsidR="00FB2302" w:rsidRPr="00FB2302">
              <w:t>начение показателя рассчитывается по формуле:</w:t>
            </w:r>
          </w:p>
          <w:p w:rsidR="00FB2302" w:rsidRDefault="00FB2302" w:rsidP="00D556E6">
            <w:pPr>
              <w:jc w:val="center"/>
            </w:pPr>
          </w:p>
          <w:p w:rsidR="0082063D" w:rsidRPr="0082063D" w:rsidRDefault="0082063D" w:rsidP="00D556E6">
            <w:pPr>
              <w:jc w:val="center"/>
            </w:pPr>
            <m:oMath>
              <m:r>
                <w:rPr>
                  <w:rFonts w:ascii="Cambria Math" w:hAnsi="Cambria Math"/>
                </w:rPr>
                <m:t>К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Кф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Кп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</w:rPr>
                <m:t xml:space="preserve"> х 100%,</m:t>
              </m:r>
            </m:oMath>
            <w:r w:rsidRPr="0082063D">
              <w:t>,  где:</w:t>
            </w:r>
          </w:p>
          <w:p w:rsidR="00FB2302" w:rsidRDefault="00FB2302" w:rsidP="00D556E6">
            <w:pPr>
              <w:jc w:val="both"/>
            </w:pPr>
          </w:p>
          <w:p w:rsidR="0082063D" w:rsidRPr="005A308C" w:rsidRDefault="0082063D" w:rsidP="00D556E6">
            <w:pPr>
              <w:jc w:val="both"/>
              <w:rPr>
                <w:color w:val="000000" w:themeColor="text1"/>
              </w:rPr>
            </w:pPr>
            <w:proofErr w:type="gramStart"/>
            <w:r w:rsidRPr="0082063D">
              <w:t xml:space="preserve">К – </w:t>
            </w:r>
            <w:r w:rsidRPr="005A308C">
              <w:rPr>
                <w:color w:val="000000" w:themeColor="text1"/>
              </w:rPr>
              <w:t xml:space="preserve">отношение количества проведенных мероприятий по контролю в сфере закупок, предусмотренному </w:t>
            </w:r>
            <w:hyperlink r:id="rId13" w:history="1">
              <w:r w:rsidRPr="005A308C">
                <w:rPr>
                  <w:rStyle w:val="a9"/>
                  <w:color w:val="000000" w:themeColor="text1"/>
                  <w:u w:val="none"/>
                </w:rPr>
                <w:t>частью 8 статьи 99</w:t>
              </w:r>
            </w:hyperlink>
            <w:r w:rsidRPr="005A308C">
              <w:rPr>
                <w:color w:val="000000" w:themeColor="text1"/>
              </w:rPr>
              <w:t xml:space="preserve"> Федерального закона </w:t>
            </w:r>
            <w:r w:rsidR="00883F7B" w:rsidRPr="005A308C">
              <w:rPr>
                <w:color w:val="000000" w:themeColor="text1"/>
              </w:rPr>
              <w:br/>
            </w:r>
            <w:r w:rsidRPr="005A308C">
              <w:rPr>
                <w:color w:val="000000" w:themeColor="text1"/>
              </w:rPr>
              <w:t>от 05.04.2013 № 44-ФЗ, к количеству запланированных мероприятий (%)</w:t>
            </w:r>
            <w:r w:rsidRPr="005A308C">
              <w:rPr>
                <w:bCs/>
                <w:color w:val="000000" w:themeColor="text1"/>
              </w:rPr>
              <w:t>;</w:t>
            </w:r>
            <w:proofErr w:type="gramEnd"/>
          </w:p>
          <w:p w:rsidR="0082063D" w:rsidRPr="005A308C" w:rsidRDefault="0082063D" w:rsidP="00D556E6">
            <w:pPr>
              <w:jc w:val="both"/>
              <w:rPr>
                <w:color w:val="000000" w:themeColor="text1"/>
              </w:rPr>
            </w:pPr>
            <w:proofErr w:type="spellStart"/>
            <w:r w:rsidRPr="005A308C">
              <w:rPr>
                <w:color w:val="000000" w:themeColor="text1"/>
              </w:rPr>
              <w:t>К</w:t>
            </w:r>
            <w:r w:rsidRPr="005A308C">
              <w:rPr>
                <w:color w:val="000000" w:themeColor="text1"/>
                <w:vertAlign w:val="subscript"/>
              </w:rPr>
              <w:t>ф</w:t>
            </w:r>
            <w:proofErr w:type="spellEnd"/>
            <w:r w:rsidRPr="005A308C">
              <w:rPr>
                <w:color w:val="000000" w:themeColor="text1"/>
                <w:vertAlign w:val="subscript"/>
              </w:rPr>
              <w:t xml:space="preserve"> </w:t>
            </w:r>
            <w:r w:rsidRPr="005A308C">
              <w:rPr>
                <w:color w:val="000000" w:themeColor="text1"/>
              </w:rPr>
              <w:t xml:space="preserve">– количество проведенных мероприятий по контролю в сфере закупок, предусмотренному </w:t>
            </w:r>
            <w:hyperlink r:id="rId14" w:history="1">
              <w:r w:rsidRPr="005A308C">
                <w:rPr>
                  <w:rStyle w:val="a9"/>
                  <w:color w:val="000000" w:themeColor="text1"/>
                  <w:u w:val="none"/>
                </w:rPr>
                <w:t>частью 8 статьи 99</w:t>
              </w:r>
            </w:hyperlink>
            <w:r w:rsidRPr="005A308C">
              <w:rPr>
                <w:color w:val="000000" w:themeColor="text1"/>
              </w:rPr>
              <w:t xml:space="preserve"> Федерального закона от 05.04.2013 </w:t>
            </w:r>
            <w:r w:rsidR="00883F7B" w:rsidRPr="005A308C">
              <w:rPr>
                <w:color w:val="000000" w:themeColor="text1"/>
              </w:rPr>
              <w:br/>
            </w:r>
            <w:r w:rsidRPr="005A308C">
              <w:rPr>
                <w:color w:val="000000" w:themeColor="text1"/>
              </w:rPr>
              <w:t xml:space="preserve">№ 44-ФЗ  (единиц), согласно сведениям министерства; </w:t>
            </w:r>
          </w:p>
          <w:p w:rsidR="0082063D" w:rsidRPr="0082063D" w:rsidRDefault="0082063D" w:rsidP="00D556E6">
            <w:pPr>
              <w:jc w:val="both"/>
            </w:pPr>
            <w:proofErr w:type="spellStart"/>
            <w:r w:rsidRPr="005A308C">
              <w:rPr>
                <w:color w:val="000000" w:themeColor="text1"/>
              </w:rPr>
              <w:t>К</w:t>
            </w:r>
            <w:r w:rsidRPr="005A308C">
              <w:rPr>
                <w:color w:val="000000" w:themeColor="text1"/>
                <w:vertAlign w:val="subscript"/>
              </w:rPr>
              <w:t>п</w:t>
            </w:r>
            <w:proofErr w:type="spellEnd"/>
            <w:r w:rsidRPr="005A308C">
              <w:rPr>
                <w:color w:val="000000" w:themeColor="text1"/>
                <w:vertAlign w:val="subscript"/>
              </w:rPr>
              <w:t xml:space="preserve"> </w:t>
            </w:r>
            <w:r w:rsidRPr="005A308C">
              <w:rPr>
                <w:color w:val="000000" w:themeColor="text1"/>
              </w:rPr>
              <w:t xml:space="preserve">– количество мероприятий по контролю в сфере закупок, предусмотренному </w:t>
            </w:r>
            <w:hyperlink r:id="rId15" w:history="1">
              <w:r w:rsidRPr="005A308C">
                <w:rPr>
                  <w:rStyle w:val="a9"/>
                  <w:color w:val="000000" w:themeColor="text1"/>
                  <w:u w:val="none"/>
                </w:rPr>
                <w:t>частью 8 статьи 99</w:t>
              </w:r>
            </w:hyperlink>
            <w:r w:rsidRPr="005A308C">
              <w:rPr>
                <w:color w:val="000000" w:themeColor="text1"/>
              </w:rPr>
              <w:t xml:space="preserve"> Федерального закона от 05.04.2013 № 44-ФЗ, запланированных планом контрольных мероприятий </w:t>
            </w:r>
            <w:r w:rsidRPr="0082063D">
              <w:t xml:space="preserve">в сфере закупок (единиц), согласно сведениям министерства </w:t>
            </w:r>
          </w:p>
        </w:tc>
      </w:tr>
      <w:tr w:rsidR="0082063D" w:rsidRPr="0082063D" w:rsidTr="00D556E6">
        <w:tc>
          <w:tcPr>
            <w:tcW w:w="680" w:type="dxa"/>
            <w:tcBorders>
              <w:left w:val="single" w:sz="4" w:space="0" w:color="000000"/>
            </w:tcBorders>
            <w:shd w:val="clear" w:color="auto" w:fill="auto"/>
          </w:tcPr>
          <w:p w:rsidR="0082063D" w:rsidRPr="0082063D" w:rsidRDefault="0082063D" w:rsidP="00D556E6">
            <w:pPr>
              <w:jc w:val="center"/>
            </w:pP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063D" w:rsidRPr="0082063D" w:rsidRDefault="00404213" w:rsidP="00D556E6">
            <w:pPr>
              <w:jc w:val="both"/>
            </w:pPr>
            <w:r>
              <w:t>н</w:t>
            </w:r>
            <w:r w:rsidR="0082063D" w:rsidRPr="0082063D">
              <w:t xml:space="preserve">аличие возбужденных административных дел в отношении лиц, виновных в нарушении законодательства о контрактной системе в сфере закупок, чьи действия образуют составы </w:t>
            </w:r>
            <w:r w:rsidR="0082063D" w:rsidRPr="0082063D">
              <w:lastRenderedPageBreak/>
              <w:t>адм</w:t>
            </w:r>
            <w:r w:rsidR="005A308C">
              <w:t>инистративных правонарушений</w:t>
            </w:r>
          </w:p>
        </w:tc>
        <w:tc>
          <w:tcPr>
            <w:tcW w:w="8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063D" w:rsidRPr="0082063D" w:rsidRDefault="00404213" w:rsidP="00D556E6">
            <w:pPr>
              <w:jc w:val="both"/>
            </w:pPr>
            <w:r>
              <w:lastRenderedPageBreak/>
              <w:t>з</w:t>
            </w:r>
            <w:r w:rsidR="0082063D" w:rsidRPr="0082063D">
              <w:t xml:space="preserve">начение показателя определяется по данным министерства </w:t>
            </w:r>
          </w:p>
        </w:tc>
      </w:tr>
      <w:tr w:rsidR="003B6ABC" w:rsidTr="00D556E6"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ABC" w:rsidRPr="00081950" w:rsidRDefault="003B6ABC" w:rsidP="00D556E6">
            <w:pPr>
              <w:jc w:val="center"/>
            </w:pP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ABC" w:rsidRPr="003B6ABC" w:rsidRDefault="00404213" w:rsidP="00D556E6">
            <w:pPr>
              <w:pStyle w:val="ConsPlusCell"/>
              <w:widowControl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</w:t>
            </w:r>
            <w:r w:rsidR="003B6ABC" w:rsidRPr="003B6AB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аличие результатов оценки мониторинга качества финансового менеджмента, осуществляемого главными распорядителями средств областного бюджета (составление таблицы ранжирования в установленный срок)</w:t>
            </w:r>
          </w:p>
        </w:tc>
        <w:tc>
          <w:tcPr>
            <w:tcW w:w="8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BC" w:rsidRDefault="00404213" w:rsidP="00D556E6">
            <w:pPr>
              <w:jc w:val="both"/>
            </w:pPr>
            <w:r>
              <w:t>з</w:t>
            </w:r>
            <w:r w:rsidR="00081950">
              <w:t>начение п</w:t>
            </w:r>
            <w:r w:rsidR="00BC47B4">
              <w:t>оказател</w:t>
            </w:r>
            <w:r w:rsidR="00081950">
              <w:t>я</w:t>
            </w:r>
            <w:r w:rsidR="00BC47B4">
              <w:t xml:space="preserve"> определяется по данным министерства </w:t>
            </w:r>
          </w:p>
        </w:tc>
      </w:tr>
      <w:tr w:rsidR="00D55A0F" w:rsidTr="00D556E6">
        <w:tc>
          <w:tcPr>
            <w:tcW w:w="6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55A0F" w:rsidRDefault="00D55A0F" w:rsidP="00D556E6">
            <w:pPr>
              <w:jc w:val="center"/>
            </w:pPr>
            <w:r>
              <w:t>7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5A0F" w:rsidRPr="003B6ABC" w:rsidRDefault="00D55A0F" w:rsidP="00D556E6">
            <w:pPr>
              <w:pStyle w:val="ConsPlusCell"/>
              <w:widowControl/>
              <w:ind w:firstLine="34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55A0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Отдельное мероприятие «Повышение финансовой грамотности населения»</w:t>
            </w:r>
          </w:p>
        </w:tc>
        <w:tc>
          <w:tcPr>
            <w:tcW w:w="8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A0F" w:rsidRDefault="00D55A0F" w:rsidP="00D556E6">
            <w:pPr>
              <w:jc w:val="both"/>
            </w:pPr>
          </w:p>
        </w:tc>
      </w:tr>
      <w:tr w:rsidR="003B6ABC" w:rsidTr="00D556E6">
        <w:tc>
          <w:tcPr>
            <w:tcW w:w="680" w:type="dxa"/>
            <w:tcBorders>
              <w:left w:val="single" w:sz="4" w:space="0" w:color="000000"/>
            </w:tcBorders>
            <w:shd w:val="clear" w:color="auto" w:fill="auto"/>
          </w:tcPr>
          <w:p w:rsidR="003B6ABC" w:rsidRPr="00081950" w:rsidRDefault="003B6ABC" w:rsidP="00D556E6">
            <w:pPr>
              <w:jc w:val="center"/>
            </w:pP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ABC" w:rsidRPr="003B6ABC" w:rsidRDefault="00404213" w:rsidP="00D556E6">
            <w:pPr>
              <w:pStyle w:val="ConsPlusCell"/>
              <w:widowControl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3B6ABC" w:rsidRPr="003B6ABC">
              <w:rPr>
                <w:rFonts w:ascii="Times New Roman" w:hAnsi="Times New Roman" w:cs="Times New Roman"/>
                <w:sz w:val="24"/>
                <w:szCs w:val="24"/>
              </w:rPr>
              <w:t>еализация региональной программы «Повышени</w:t>
            </w:r>
            <w:r w:rsidR="00954BE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3B6ABC" w:rsidRPr="003B6ABC">
              <w:rPr>
                <w:rFonts w:ascii="Times New Roman" w:hAnsi="Times New Roman" w:cs="Times New Roman"/>
                <w:sz w:val="24"/>
                <w:szCs w:val="24"/>
              </w:rPr>
              <w:t xml:space="preserve"> финансовой грамотности населения Кировской области на 2020 – 2023 годы»</w:t>
            </w:r>
          </w:p>
        </w:tc>
        <w:tc>
          <w:tcPr>
            <w:tcW w:w="8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BC" w:rsidRDefault="00404213" w:rsidP="00D556E6">
            <w:pPr>
              <w:jc w:val="both"/>
            </w:pPr>
            <w:r>
              <w:t>з</w:t>
            </w:r>
            <w:r w:rsidR="00081950">
              <w:t>начение п</w:t>
            </w:r>
            <w:r w:rsidR="00BC47B4">
              <w:t>оказател</w:t>
            </w:r>
            <w:r w:rsidR="00081950">
              <w:t>я</w:t>
            </w:r>
            <w:r w:rsidR="00BC47B4">
              <w:t xml:space="preserve"> определяется по данным министерства </w:t>
            </w:r>
          </w:p>
        </w:tc>
      </w:tr>
      <w:tr w:rsidR="003B6ABC" w:rsidTr="00D556E6">
        <w:tc>
          <w:tcPr>
            <w:tcW w:w="680" w:type="dxa"/>
            <w:tcBorders>
              <w:left w:val="single" w:sz="4" w:space="0" w:color="000000"/>
            </w:tcBorders>
            <w:shd w:val="clear" w:color="auto" w:fill="auto"/>
          </w:tcPr>
          <w:p w:rsidR="003B6ABC" w:rsidRPr="00081950" w:rsidRDefault="003B6ABC" w:rsidP="00D556E6">
            <w:pPr>
              <w:jc w:val="center"/>
            </w:pP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ABC" w:rsidRPr="003B6ABC" w:rsidRDefault="00404213" w:rsidP="00D556E6">
            <w:pPr>
              <w:pStyle w:val="ConsPlusCell"/>
              <w:widowControl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3B6ABC" w:rsidRPr="003B6ABC">
              <w:rPr>
                <w:rFonts w:ascii="Times New Roman" w:hAnsi="Times New Roman" w:cs="Times New Roman"/>
                <w:sz w:val="24"/>
                <w:szCs w:val="24"/>
              </w:rPr>
              <w:t>азмещение на сайте министерства «Бюджета для граждан»</w:t>
            </w:r>
          </w:p>
        </w:tc>
        <w:tc>
          <w:tcPr>
            <w:tcW w:w="8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BC" w:rsidRDefault="00404213" w:rsidP="00D556E6">
            <w:r>
              <w:t>з</w:t>
            </w:r>
            <w:r w:rsidR="00081950">
              <w:t>начение показателя</w:t>
            </w:r>
            <w:r w:rsidR="00BC47B4">
              <w:t xml:space="preserve"> определяется по данным министерства </w:t>
            </w:r>
          </w:p>
        </w:tc>
      </w:tr>
      <w:tr w:rsidR="003B6ABC" w:rsidTr="00D556E6"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ABC" w:rsidRPr="00081950" w:rsidRDefault="003B6ABC" w:rsidP="00D556E6">
            <w:pPr>
              <w:jc w:val="center"/>
            </w:pP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ABC" w:rsidRPr="003B6ABC" w:rsidRDefault="00404213" w:rsidP="00D556E6">
            <w:pPr>
              <w:pStyle w:val="ConsPlusCell"/>
              <w:widowControl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3B6ABC" w:rsidRPr="003B6ABC">
              <w:rPr>
                <w:rFonts w:ascii="Times New Roman" w:hAnsi="Times New Roman" w:cs="Times New Roman"/>
                <w:sz w:val="24"/>
                <w:szCs w:val="24"/>
              </w:rPr>
              <w:t>еализация проекта «Народный бюджет»</w:t>
            </w:r>
          </w:p>
        </w:tc>
        <w:tc>
          <w:tcPr>
            <w:tcW w:w="8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BC" w:rsidRDefault="00404213" w:rsidP="00D556E6">
            <w:r>
              <w:t>з</w:t>
            </w:r>
            <w:r w:rsidR="00081950">
              <w:t>начение п</w:t>
            </w:r>
            <w:r w:rsidR="00BC47B4">
              <w:t>оказател</w:t>
            </w:r>
            <w:r w:rsidR="00081950">
              <w:t>я</w:t>
            </w:r>
            <w:r w:rsidR="00BC47B4">
              <w:t xml:space="preserve"> определяется по данным министерства </w:t>
            </w:r>
          </w:p>
        </w:tc>
      </w:tr>
      <w:tr w:rsidR="00696C46" w:rsidTr="00D556E6"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96C46" w:rsidRDefault="00696C46" w:rsidP="00D556E6">
            <w:pPr>
              <w:jc w:val="center"/>
            </w:pPr>
            <w:r>
              <w:t>8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C46" w:rsidRPr="00C56289" w:rsidRDefault="00696C46" w:rsidP="00D556E6">
            <w:pPr>
              <w:pStyle w:val="ConsPlusCell"/>
              <w:widowControl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Отдельное мероприятие «Обеспечение реализации </w:t>
            </w:r>
            <w:r w:rsidR="0040421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осударственной программы»</w:t>
            </w:r>
          </w:p>
        </w:tc>
        <w:tc>
          <w:tcPr>
            <w:tcW w:w="8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C46" w:rsidRDefault="00696C46" w:rsidP="00D556E6"/>
        </w:tc>
      </w:tr>
      <w:tr w:rsidR="00696C46" w:rsidTr="00D556E6">
        <w:tc>
          <w:tcPr>
            <w:tcW w:w="6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96C46" w:rsidRDefault="00696C46" w:rsidP="00D556E6">
            <w:pPr>
              <w:jc w:val="center"/>
            </w:pP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C46" w:rsidRPr="00C56289" w:rsidRDefault="00404213" w:rsidP="00D556E6">
            <w:pPr>
              <w:pStyle w:val="ConsPlusCell"/>
              <w:widowControl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696C46" w:rsidRPr="00A112A3">
              <w:rPr>
                <w:rFonts w:ascii="Times New Roman" w:hAnsi="Times New Roman" w:cs="Times New Roman"/>
                <w:sz w:val="24"/>
                <w:szCs w:val="24"/>
              </w:rPr>
              <w:t>дельный вес конкурентных способов определения поставщика (подрядчика, исполнителя), проведенных с соблюдением установленного срока для заказчиков Кировской области, от общего количества конкурентных способов определения поставщика (подрядчика, исполнителя)</w:t>
            </w:r>
          </w:p>
        </w:tc>
        <w:tc>
          <w:tcPr>
            <w:tcW w:w="8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213" w:rsidRPr="00404213" w:rsidRDefault="004B71B9" w:rsidP="00D556E6">
            <w:pPr>
              <w:jc w:val="both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з</w:t>
            </w:r>
            <w:r w:rsidR="00404213" w:rsidRPr="00404213">
              <w:rPr>
                <w:noProof/>
                <w:lang w:eastAsia="ru-RU"/>
              </w:rPr>
              <w:t>начение показателя рассчитывается по формуле:</w:t>
            </w:r>
          </w:p>
          <w:p w:rsidR="00404213" w:rsidRDefault="00404213" w:rsidP="00D556E6">
            <w:pPr>
              <w:jc w:val="center"/>
              <w:rPr>
                <w:noProof/>
                <w:lang w:eastAsia="ru-RU"/>
              </w:rPr>
            </w:pPr>
          </w:p>
          <w:p w:rsidR="00696C46" w:rsidRPr="00A112A3" w:rsidRDefault="00696C46" w:rsidP="00D556E6">
            <w:pPr>
              <w:jc w:val="center"/>
            </w:pPr>
            <w:r w:rsidRPr="00A112A3">
              <w:rPr>
                <w:noProof/>
                <w:lang w:eastAsia="ru-RU"/>
              </w:rPr>
              <w:drawing>
                <wp:inline distT="0" distB="0" distL="0" distR="0" wp14:anchorId="6125ADAA" wp14:editId="7D842FAA">
                  <wp:extent cx="1529334" cy="399108"/>
                  <wp:effectExtent l="19050" t="0" r="0" b="0"/>
                  <wp:docPr id="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0837" cy="40732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04213" w:rsidRPr="00D556E6" w:rsidRDefault="00404213" w:rsidP="00D556E6">
            <w:pPr>
              <w:jc w:val="both"/>
              <w:rPr>
                <w:sz w:val="20"/>
                <w:szCs w:val="20"/>
              </w:rPr>
            </w:pPr>
          </w:p>
          <w:p w:rsidR="00696C46" w:rsidRPr="00A112A3" w:rsidRDefault="00696C46" w:rsidP="00D556E6">
            <w:pPr>
              <w:jc w:val="both"/>
            </w:pPr>
            <w:proofErr w:type="spellStart"/>
            <w:r w:rsidRPr="00A112A3">
              <w:t>Ув</w:t>
            </w:r>
            <w:proofErr w:type="spellEnd"/>
            <w:r w:rsidRPr="00A112A3">
              <w:t xml:space="preserve"> </w:t>
            </w:r>
            <w:r w:rsidR="00404213">
              <w:t>–</w:t>
            </w:r>
            <w:r w:rsidRPr="00A112A3">
              <w:t xml:space="preserve"> удельный вес конкурентных способов определения поставщика (подрядчика, исполнителя), проведенных с соблюдением установленного срока для заказчиков Кировской области, от общего количества конкурентных способов определения поставщика (подрядчика, исполнителя</w:t>
            </w:r>
            <w:proofErr w:type="gramStart"/>
            <w:r w:rsidRPr="00A112A3">
              <w:t xml:space="preserve">) </w:t>
            </w:r>
            <w:r w:rsidR="00404213">
              <w:t>(</w:t>
            </w:r>
            <w:r w:rsidRPr="00A112A3">
              <w:t>%</w:t>
            </w:r>
            <w:r w:rsidR="00404213">
              <w:t>)</w:t>
            </w:r>
            <w:r w:rsidRPr="00A112A3">
              <w:t>;</w:t>
            </w:r>
            <w:proofErr w:type="gramEnd"/>
          </w:p>
          <w:p w:rsidR="00696C46" w:rsidRPr="00A112A3" w:rsidRDefault="00696C46" w:rsidP="00D556E6">
            <w:pPr>
              <w:jc w:val="both"/>
            </w:pPr>
            <w:proofErr w:type="spellStart"/>
            <w:r w:rsidRPr="00A112A3">
              <w:t>Ксцз</w:t>
            </w:r>
            <w:proofErr w:type="spellEnd"/>
            <w:r w:rsidRPr="00A112A3">
              <w:t xml:space="preserve"> </w:t>
            </w:r>
            <w:r w:rsidR="00404213">
              <w:t>–</w:t>
            </w:r>
            <w:r w:rsidRPr="00A112A3">
              <w:t xml:space="preserve"> количество конкурентных способов определения поставщика (подрядчика, исполнителя), опубликованных с соблюдением срока при размещении извещений об осуществлении закупок для заказчиков Кировской области уполномоченным на определение поставщиков (подрядчиков, исполнителей) учреждением, согласно сведениям Кировского областного государственного казенного учреждения </w:t>
            </w:r>
            <w:r>
              <w:t>«</w:t>
            </w:r>
            <w:r w:rsidRPr="00A112A3">
              <w:t>Центр по техническому сопровождению закупок</w:t>
            </w:r>
            <w:r>
              <w:t>»</w:t>
            </w:r>
            <w:r w:rsidRPr="00A112A3">
              <w:t xml:space="preserve"> </w:t>
            </w:r>
            <w:r w:rsidR="00404213">
              <w:t>(</w:t>
            </w:r>
            <w:r w:rsidRPr="00A112A3">
              <w:t>единиц</w:t>
            </w:r>
            <w:r w:rsidR="00404213">
              <w:t>)</w:t>
            </w:r>
            <w:r w:rsidRPr="00A112A3">
              <w:t>;</w:t>
            </w:r>
          </w:p>
          <w:p w:rsidR="00696C46" w:rsidRDefault="00696C46" w:rsidP="004B71B9">
            <w:pPr>
              <w:jc w:val="both"/>
            </w:pPr>
            <w:proofErr w:type="spellStart"/>
            <w:proofErr w:type="gramStart"/>
            <w:r w:rsidRPr="00A112A3">
              <w:lastRenderedPageBreak/>
              <w:t>ОКсцз</w:t>
            </w:r>
            <w:proofErr w:type="spellEnd"/>
            <w:r w:rsidRPr="00A112A3">
              <w:t xml:space="preserve"> </w:t>
            </w:r>
            <w:r w:rsidR="00404213">
              <w:t>–</w:t>
            </w:r>
            <w:r w:rsidRPr="00A112A3">
              <w:t xml:space="preserve"> общее количество конкурентных способов определения поставщика (подрядчика, исполнителя), подлежащих размещению через уполномоченное на определение поставщиков (подрядчиков, исполнителей) учреждение, согласно сведениям Кировского областного государственного казенного учреждения </w:t>
            </w:r>
            <w:r>
              <w:t>«</w:t>
            </w:r>
            <w:r w:rsidRPr="00A112A3">
              <w:t>Центр по тех</w:t>
            </w:r>
            <w:r>
              <w:t>ническому сопровождению закупок»</w:t>
            </w:r>
            <w:r w:rsidRPr="00A112A3">
              <w:t xml:space="preserve"> </w:t>
            </w:r>
            <w:r w:rsidR="00404213">
              <w:t>(</w:t>
            </w:r>
            <w:r w:rsidRPr="00A112A3">
              <w:t>единиц</w:t>
            </w:r>
            <w:r w:rsidR="00404213">
              <w:t>)</w:t>
            </w:r>
            <w:proofErr w:type="gramEnd"/>
          </w:p>
        </w:tc>
      </w:tr>
      <w:tr w:rsidR="00C56289" w:rsidTr="00D556E6">
        <w:tc>
          <w:tcPr>
            <w:tcW w:w="6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56289" w:rsidRDefault="00696C46" w:rsidP="00D556E6">
            <w:pPr>
              <w:jc w:val="center"/>
            </w:pPr>
            <w:r>
              <w:lastRenderedPageBreak/>
              <w:t>9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289" w:rsidRPr="003B6ABC" w:rsidRDefault="00C56289" w:rsidP="00D556E6">
            <w:pPr>
              <w:pStyle w:val="ConsPlusCell"/>
              <w:widowControl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6289">
              <w:rPr>
                <w:rFonts w:ascii="Times New Roman" w:hAnsi="Times New Roman" w:cs="Times New Roman"/>
                <w:sz w:val="24"/>
                <w:szCs w:val="24"/>
              </w:rPr>
              <w:t xml:space="preserve">Отдельное мероприятие «Выравнивание финансовых возможностей муниципальных образований Кировской области по осуществлению органами местного самоуправления </w:t>
            </w:r>
            <w:r w:rsidR="00404213">
              <w:rPr>
                <w:rFonts w:ascii="Times New Roman" w:hAnsi="Times New Roman" w:cs="Times New Roman"/>
                <w:sz w:val="24"/>
                <w:szCs w:val="24"/>
              </w:rPr>
              <w:t xml:space="preserve">Кировской </w:t>
            </w:r>
            <w:r w:rsidRPr="00C56289">
              <w:rPr>
                <w:rFonts w:ascii="Times New Roman" w:hAnsi="Times New Roman" w:cs="Times New Roman"/>
                <w:sz w:val="24"/>
                <w:szCs w:val="24"/>
              </w:rPr>
              <w:t>области полномочий по решению вопросов местного значения»</w:t>
            </w:r>
          </w:p>
        </w:tc>
        <w:tc>
          <w:tcPr>
            <w:tcW w:w="8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289" w:rsidRDefault="00C56289" w:rsidP="00D556E6"/>
        </w:tc>
      </w:tr>
      <w:tr w:rsidR="00081950" w:rsidRPr="00081950" w:rsidTr="00D556E6">
        <w:tc>
          <w:tcPr>
            <w:tcW w:w="680" w:type="dxa"/>
            <w:tcBorders>
              <w:left w:val="single" w:sz="4" w:space="0" w:color="000000"/>
            </w:tcBorders>
            <w:shd w:val="clear" w:color="auto" w:fill="auto"/>
          </w:tcPr>
          <w:p w:rsidR="00081950" w:rsidRPr="00081950" w:rsidRDefault="00081950" w:rsidP="00D556E6">
            <w:pPr>
              <w:jc w:val="center"/>
            </w:pP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950" w:rsidRPr="00081950" w:rsidRDefault="00404213" w:rsidP="00D556E6">
            <w:pPr>
              <w:jc w:val="both"/>
            </w:pPr>
            <w:r>
              <w:t>о</w:t>
            </w:r>
            <w:r w:rsidR="00081950" w:rsidRPr="00081950">
              <w:t xml:space="preserve">тношение фактического объема средств областного бюджета, направляемых на выравнивание бюджетной обеспеченности муниципальных образований, к утвержденному плановому значению </w:t>
            </w:r>
          </w:p>
          <w:p w:rsidR="00081950" w:rsidRPr="00081950" w:rsidRDefault="00081950" w:rsidP="00D556E6">
            <w:pPr>
              <w:jc w:val="both"/>
            </w:pPr>
          </w:p>
        </w:tc>
        <w:tc>
          <w:tcPr>
            <w:tcW w:w="8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213" w:rsidRPr="00404213" w:rsidRDefault="004B71B9" w:rsidP="00D556E6">
            <w:pPr>
              <w:jc w:val="both"/>
            </w:pPr>
            <w:r>
              <w:t>з</w:t>
            </w:r>
            <w:r w:rsidR="00404213" w:rsidRPr="00404213">
              <w:t>начение показателя рассчитывается по формуле:</w:t>
            </w:r>
          </w:p>
          <w:p w:rsidR="00404213" w:rsidRDefault="00404213" w:rsidP="00D556E6">
            <w:pPr>
              <w:jc w:val="center"/>
            </w:pPr>
          </w:p>
          <w:p w:rsidR="00081950" w:rsidRPr="00081950" w:rsidRDefault="00081950" w:rsidP="00D556E6">
            <w:pPr>
              <w:jc w:val="center"/>
              <w:rPr>
                <w:sz w:val="28"/>
                <w:szCs w:val="28"/>
              </w:rPr>
            </w:pPr>
            <m:oMath>
              <m:r>
                <w:rPr>
                  <w:rFonts w:ascii="Cambria Math" w:hAnsi="Cambria Math"/>
                </w:rPr>
                <m:t>Дв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Вф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Вп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</w:rPr>
                <m:t xml:space="preserve"> х 100%,</m:t>
              </m:r>
            </m:oMath>
            <w:r w:rsidRPr="00081950">
              <w:rPr>
                <w:sz w:val="28"/>
                <w:szCs w:val="28"/>
              </w:rPr>
              <w:t xml:space="preserve"> </w:t>
            </w:r>
            <w:r w:rsidRPr="00404213">
              <w:t>где:</w:t>
            </w:r>
          </w:p>
          <w:p w:rsidR="00404213" w:rsidRDefault="00404213" w:rsidP="00D556E6">
            <w:pPr>
              <w:jc w:val="both"/>
            </w:pPr>
          </w:p>
          <w:p w:rsidR="00081950" w:rsidRPr="00081950" w:rsidRDefault="00081950" w:rsidP="00D556E6">
            <w:pPr>
              <w:jc w:val="both"/>
            </w:pPr>
            <w:proofErr w:type="spellStart"/>
            <w:r w:rsidRPr="00081950">
              <w:t>Д</w:t>
            </w:r>
            <w:r w:rsidRPr="007555D5">
              <w:rPr>
                <w:sz w:val="22"/>
                <w:szCs w:val="22"/>
              </w:rPr>
              <w:t>в</w:t>
            </w:r>
            <w:proofErr w:type="spellEnd"/>
            <w:r w:rsidRPr="00081950">
              <w:t xml:space="preserve"> – отношение фактического объема средств областного бюджета, направленных на выравнивание бюджетной обеспеченности муниципальных образований области, к утвержденному плановому значению</w:t>
            </w:r>
            <w:proofErr w:type="gramStart"/>
            <w:r w:rsidRPr="00081950">
              <w:t xml:space="preserve"> (%); </w:t>
            </w:r>
            <w:proofErr w:type="gramEnd"/>
          </w:p>
          <w:p w:rsidR="00081950" w:rsidRPr="00081950" w:rsidRDefault="00081950" w:rsidP="00D556E6">
            <w:pPr>
              <w:jc w:val="both"/>
            </w:pPr>
            <w:proofErr w:type="spellStart"/>
            <w:r w:rsidRPr="00081950">
              <w:t>В</w:t>
            </w:r>
            <w:r w:rsidRPr="007555D5">
              <w:rPr>
                <w:sz w:val="22"/>
                <w:szCs w:val="22"/>
              </w:rPr>
              <w:t>ф</w:t>
            </w:r>
            <w:proofErr w:type="spellEnd"/>
            <w:r w:rsidRPr="00081950">
              <w:t xml:space="preserve"> – объем средств областного бюджета, направляемый на выравнивание бюджетной обеспеченности муниципальных образований, в отчетном периоде согласно отчету об исполнении консолидированного бюджета субъекта Российской Федерации и бюджета территориального государственного внебюджетного фонда (тыс. рублей);</w:t>
            </w:r>
          </w:p>
          <w:p w:rsidR="00081950" w:rsidRPr="00081950" w:rsidRDefault="00081950" w:rsidP="00D556E6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 w:rsidRPr="00081950">
              <w:t>В</w:t>
            </w:r>
            <w:r w:rsidRPr="007555D5">
              <w:rPr>
                <w:sz w:val="22"/>
                <w:szCs w:val="22"/>
              </w:rPr>
              <w:t>п</w:t>
            </w:r>
            <w:proofErr w:type="spellEnd"/>
            <w:r w:rsidRPr="00081950">
              <w:t xml:space="preserve"> – объем средств областного бюджета на выравнивание бюджетной обеспеченности муниципальных образований в соответствующем финансовом году, утвержденный законом Кировской области об областном бюджете на очередной финансовый год и на плановый период (тыс. рублей)</w:t>
            </w:r>
          </w:p>
        </w:tc>
      </w:tr>
      <w:tr w:rsidR="00C56289" w:rsidRPr="00C56289" w:rsidTr="00D556E6"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289" w:rsidRPr="00C56289" w:rsidRDefault="00C56289" w:rsidP="00D556E6">
            <w:pPr>
              <w:jc w:val="center"/>
            </w:pP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289" w:rsidRPr="00C56289" w:rsidRDefault="00404213" w:rsidP="00D556E6">
            <w:pPr>
              <w:jc w:val="both"/>
            </w:pPr>
            <w:r>
              <w:t>с</w:t>
            </w:r>
            <w:r w:rsidR="00C56289" w:rsidRPr="00C56289">
              <w:t>окращение величины разрыва в уровне расчетной бюджетной обеспеченности муниципальных образований Кировской области после выравнивания бюджетной обеспеченности</w:t>
            </w:r>
          </w:p>
          <w:p w:rsidR="00C56289" w:rsidRPr="00C56289" w:rsidRDefault="00C56289" w:rsidP="00D556E6">
            <w:pPr>
              <w:jc w:val="both"/>
            </w:pPr>
          </w:p>
        </w:tc>
        <w:tc>
          <w:tcPr>
            <w:tcW w:w="8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213" w:rsidRPr="00404213" w:rsidRDefault="004B71B9" w:rsidP="00D556E6">
            <w:pPr>
              <w:jc w:val="both"/>
            </w:pPr>
            <w:r>
              <w:lastRenderedPageBreak/>
              <w:t>з</w:t>
            </w:r>
            <w:r w:rsidR="00404213" w:rsidRPr="00404213">
              <w:t>начение показателя рассчитывается по формуле:</w:t>
            </w:r>
          </w:p>
          <w:p w:rsidR="00404213" w:rsidRDefault="00404213" w:rsidP="00D556E6">
            <w:pPr>
              <w:jc w:val="center"/>
            </w:pPr>
          </w:p>
          <w:p w:rsidR="00C56289" w:rsidRPr="00C56289" w:rsidRDefault="00C56289" w:rsidP="00D556E6">
            <w:pPr>
              <w:jc w:val="center"/>
            </w:pPr>
            <m:oMath>
              <m:r>
                <w:rPr>
                  <w:rFonts w:ascii="Cambria Math" w:hAnsi="Cambria Math"/>
                </w:rPr>
                <m:t>Оу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У1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max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У1min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</w:rPr>
                <m:t xml:space="preserve"> › 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У2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max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У2min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</w:rPr>
                <m:t xml:space="preserve">,  </m:t>
              </m:r>
            </m:oMath>
            <w:r w:rsidRPr="00C56289">
              <w:t>где:</w:t>
            </w:r>
          </w:p>
          <w:p w:rsidR="00404213" w:rsidRPr="00D556E6" w:rsidRDefault="00404213" w:rsidP="00D556E6">
            <w:pPr>
              <w:jc w:val="both"/>
              <w:rPr>
                <w:sz w:val="20"/>
                <w:szCs w:val="20"/>
              </w:rPr>
            </w:pPr>
          </w:p>
          <w:p w:rsidR="00C56289" w:rsidRPr="00C56289" w:rsidRDefault="00C56289" w:rsidP="005A308C">
            <w:pPr>
              <w:jc w:val="both"/>
            </w:pPr>
            <w:proofErr w:type="spellStart"/>
            <w:r w:rsidRPr="00C56289">
              <w:lastRenderedPageBreak/>
              <w:t>Оу</w:t>
            </w:r>
            <w:proofErr w:type="spellEnd"/>
            <w:r w:rsidRPr="00C56289">
              <w:t xml:space="preserve"> – сокращение величины разрыва в уровне расчетной бюджетной обеспеченности муниципальных образований Кировской области после выравнивания бюджетной обеспеченности (раз);</w:t>
            </w:r>
          </w:p>
          <w:p w:rsidR="00C56289" w:rsidRPr="00C56289" w:rsidRDefault="00C56289" w:rsidP="005A308C">
            <w:pPr>
              <w:jc w:val="both"/>
            </w:pPr>
            <w:r w:rsidRPr="00C56289">
              <w:t>У1</w:t>
            </w:r>
            <w:r w:rsidRPr="00C56289">
              <w:rPr>
                <w:lang w:val="en-US"/>
              </w:rPr>
              <w:t>min</w:t>
            </w:r>
            <w:r w:rsidRPr="00C56289">
              <w:t xml:space="preserve"> – минимальный уровень бюджетной обеспеченности муниципальных образований Кировской области до выравнивания бюджетной обеспеченности согласно сведениям министерства (раз); </w:t>
            </w:r>
          </w:p>
          <w:p w:rsidR="00C56289" w:rsidRPr="00C56289" w:rsidRDefault="00C56289" w:rsidP="005A308C">
            <w:pPr>
              <w:jc w:val="both"/>
            </w:pPr>
            <w:r w:rsidRPr="00C56289">
              <w:t>У1</w:t>
            </w:r>
            <w:r w:rsidRPr="00C56289">
              <w:rPr>
                <w:lang w:val="en-US"/>
              </w:rPr>
              <w:t>max</w:t>
            </w:r>
            <w:r w:rsidRPr="00C56289">
              <w:t xml:space="preserve"> – максимальный уровень бюджетной обеспеченности муниципальных образований Кировской области до выравнивания бюджетной обеспеченности согласно сведениям министерства (раз);</w:t>
            </w:r>
          </w:p>
          <w:p w:rsidR="00C56289" w:rsidRPr="00C56289" w:rsidRDefault="00C56289" w:rsidP="005A308C">
            <w:pPr>
              <w:jc w:val="both"/>
            </w:pPr>
            <w:r w:rsidRPr="00C56289">
              <w:t>У2</w:t>
            </w:r>
            <w:r w:rsidRPr="00C56289">
              <w:rPr>
                <w:lang w:val="en-US"/>
              </w:rPr>
              <w:t>min</w:t>
            </w:r>
            <w:r w:rsidRPr="00C56289">
              <w:t xml:space="preserve"> – минимальный уровень бюджетной обеспеченности муниципальных образований Кировской области после выравнивания бюджетной обеспеченности согласно сведениям министерства (раз);</w:t>
            </w:r>
          </w:p>
          <w:p w:rsidR="00C56289" w:rsidRPr="00C56289" w:rsidRDefault="00C56289" w:rsidP="005A308C">
            <w:pPr>
              <w:jc w:val="both"/>
            </w:pPr>
            <w:r w:rsidRPr="00C56289">
              <w:t>У2</w:t>
            </w:r>
            <w:r w:rsidRPr="00C56289">
              <w:rPr>
                <w:lang w:val="en-US"/>
              </w:rPr>
              <w:t>max</w:t>
            </w:r>
            <w:r w:rsidRPr="00C56289">
              <w:t xml:space="preserve"> – максимальный уровень бюджетной обеспеченности муниципальных образований Кировской области после выравнивания бюджетной обеспеченности согласно сведениям министерства (раз)</w:t>
            </w:r>
          </w:p>
        </w:tc>
      </w:tr>
      <w:tr w:rsidR="00C56289" w:rsidRPr="00C56289" w:rsidTr="00D556E6">
        <w:tc>
          <w:tcPr>
            <w:tcW w:w="6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56289" w:rsidRPr="00C56289" w:rsidRDefault="00696C46" w:rsidP="00D556E6">
            <w:pPr>
              <w:jc w:val="center"/>
            </w:pPr>
            <w:r>
              <w:lastRenderedPageBreak/>
              <w:t>10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289" w:rsidRPr="00C56289" w:rsidRDefault="00C56289" w:rsidP="00D556E6">
            <w:pPr>
              <w:jc w:val="both"/>
            </w:pPr>
            <w:r w:rsidRPr="00C56289">
              <w:t>Отдельное мероприятие «Предоставление межбюджетных трансфертов местным бюджетам из областного бюджета»</w:t>
            </w:r>
          </w:p>
        </w:tc>
        <w:tc>
          <w:tcPr>
            <w:tcW w:w="8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289" w:rsidRPr="00C56289" w:rsidRDefault="00C56289" w:rsidP="00D556E6">
            <w:pPr>
              <w:jc w:val="center"/>
            </w:pPr>
          </w:p>
        </w:tc>
      </w:tr>
      <w:tr w:rsidR="00081950" w:rsidRPr="00081950" w:rsidTr="00D556E6"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950" w:rsidRPr="00081950" w:rsidRDefault="00081950" w:rsidP="00D556E6">
            <w:pPr>
              <w:jc w:val="center"/>
            </w:pP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950" w:rsidRPr="00081950" w:rsidRDefault="00404213" w:rsidP="00D556E6">
            <w:pPr>
              <w:jc w:val="both"/>
            </w:pPr>
            <w:r>
              <w:t>н</w:t>
            </w:r>
            <w:r w:rsidR="00081950" w:rsidRPr="00081950">
              <w:t xml:space="preserve">аличие результатов оценки качества организации и осуществления бюджетного процесса в муниципальных районах (городских округах) </w:t>
            </w:r>
          </w:p>
        </w:tc>
        <w:tc>
          <w:tcPr>
            <w:tcW w:w="8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1950" w:rsidRPr="00081950" w:rsidRDefault="00404213" w:rsidP="00D556E6">
            <w:pPr>
              <w:jc w:val="both"/>
            </w:pPr>
            <w:r>
              <w:t>з</w:t>
            </w:r>
            <w:r w:rsidR="00081950" w:rsidRPr="00081950">
              <w:t xml:space="preserve">начение показателя определяется по данным министерства </w:t>
            </w:r>
          </w:p>
        </w:tc>
      </w:tr>
      <w:tr w:rsidR="00C56289" w:rsidRPr="00081950" w:rsidTr="00D556E6">
        <w:tc>
          <w:tcPr>
            <w:tcW w:w="6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56289" w:rsidRDefault="00C56289" w:rsidP="00D556E6">
            <w:pPr>
              <w:jc w:val="center"/>
            </w:pPr>
            <w:r>
              <w:t>1</w:t>
            </w:r>
            <w:r w:rsidR="00696C46">
              <w:t>1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289" w:rsidRPr="00081950" w:rsidRDefault="00C56289" w:rsidP="00D556E6">
            <w:pPr>
              <w:jc w:val="both"/>
            </w:pPr>
            <w:r w:rsidRPr="00C56289">
              <w:t>Отдельное мероприятие «Создание централизованных бухгалтерий»</w:t>
            </w:r>
          </w:p>
        </w:tc>
        <w:tc>
          <w:tcPr>
            <w:tcW w:w="8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289" w:rsidRPr="00081950" w:rsidRDefault="00C56289" w:rsidP="00D556E6">
            <w:pPr>
              <w:jc w:val="both"/>
            </w:pPr>
          </w:p>
        </w:tc>
      </w:tr>
      <w:tr w:rsidR="00635CCD" w:rsidRPr="00081950" w:rsidTr="00D556E6"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5CCD" w:rsidRDefault="00635CCD" w:rsidP="00D556E6">
            <w:pPr>
              <w:jc w:val="center"/>
            </w:pP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5CCD" w:rsidRPr="00081950" w:rsidRDefault="00404213" w:rsidP="00D556E6">
            <w:pPr>
              <w:jc w:val="both"/>
            </w:pPr>
            <w:r>
              <w:t>п</w:t>
            </w:r>
            <w:r w:rsidR="00517D1A" w:rsidRPr="00517D1A">
              <w:t>роведение мониторинга мероприятий по централизации полномочий по ведению бюджетного (бухгалтерского) учета, составлению бюджетной (бухгалтерской) отчетности</w:t>
            </w:r>
          </w:p>
        </w:tc>
        <w:tc>
          <w:tcPr>
            <w:tcW w:w="8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5CCD" w:rsidRPr="00081950" w:rsidRDefault="00404213" w:rsidP="00D556E6">
            <w:pPr>
              <w:jc w:val="both"/>
            </w:pPr>
            <w:r>
              <w:t>з</w:t>
            </w:r>
            <w:r w:rsidR="00635CCD" w:rsidRPr="00635CCD">
              <w:t xml:space="preserve">начение показателя определяется по данным министерства </w:t>
            </w:r>
          </w:p>
        </w:tc>
      </w:tr>
      <w:tr w:rsidR="00C56289" w:rsidRPr="00081950" w:rsidTr="00D556E6">
        <w:tc>
          <w:tcPr>
            <w:tcW w:w="6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56289" w:rsidRDefault="00C56289" w:rsidP="00D556E6">
            <w:pPr>
              <w:jc w:val="center"/>
            </w:pPr>
            <w:r>
              <w:t>1</w:t>
            </w:r>
            <w:r w:rsidR="00696C46">
              <w:t>2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289" w:rsidRPr="00517D1A" w:rsidRDefault="00C56289" w:rsidP="00D556E6">
            <w:pPr>
              <w:jc w:val="both"/>
            </w:pPr>
            <w:r w:rsidRPr="00C56289">
              <w:t>Отдельное мероприятие «Нормативно-правовое регулирование межбюджетных отношений»</w:t>
            </w:r>
          </w:p>
        </w:tc>
        <w:tc>
          <w:tcPr>
            <w:tcW w:w="8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289" w:rsidRPr="00635CCD" w:rsidRDefault="00C56289" w:rsidP="00D556E6">
            <w:pPr>
              <w:jc w:val="both"/>
            </w:pPr>
          </w:p>
        </w:tc>
      </w:tr>
      <w:tr w:rsidR="00C56289" w:rsidRPr="00081950" w:rsidTr="00D556E6"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289" w:rsidRDefault="00C56289" w:rsidP="00D556E6">
            <w:pPr>
              <w:jc w:val="center"/>
            </w:pP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289" w:rsidRPr="00C56289" w:rsidRDefault="00404213" w:rsidP="00D556E6">
            <w:pPr>
              <w:jc w:val="both"/>
            </w:pPr>
            <w:r>
              <w:t>с</w:t>
            </w:r>
            <w:r w:rsidR="00C56289" w:rsidRPr="00C56289">
              <w:t>облюдение требований бюджетного законодательства в части установления единых нормативов отчислений</w:t>
            </w:r>
          </w:p>
        </w:tc>
        <w:tc>
          <w:tcPr>
            <w:tcW w:w="8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289" w:rsidRPr="00635CCD" w:rsidRDefault="00404213" w:rsidP="00D556E6">
            <w:pPr>
              <w:jc w:val="both"/>
            </w:pPr>
            <w:r>
              <w:t>з</w:t>
            </w:r>
            <w:r w:rsidR="00C56289" w:rsidRPr="00C56289">
              <w:t xml:space="preserve">начение показателя определяется по данным министерства </w:t>
            </w:r>
          </w:p>
        </w:tc>
      </w:tr>
    </w:tbl>
    <w:p w:rsidR="00FC256D" w:rsidRDefault="005A308C" w:rsidP="005A308C">
      <w:pPr>
        <w:spacing w:line="20" w:lineRule="exact"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653832" wp14:editId="1D29B83F">
                <wp:simplePos x="0" y="0"/>
                <wp:positionH relativeFrom="column">
                  <wp:posOffset>3461385</wp:posOffset>
                </wp:positionH>
                <wp:positionV relativeFrom="paragraph">
                  <wp:posOffset>28575</wp:posOffset>
                </wp:positionV>
                <wp:extent cx="1943100" cy="1403985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308C" w:rsidRDefault="005A308C" w:rsidP="005A308C">
                            <w:pPr>
                              <w:jc w:val="center"/>
                            </w:pPr>
                            <w:r>
                              <w:t>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72.55pt;margin-top:2.25pt;width:153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" filled="f" stroked="f">
                <v:textbox style="mso-fit-shape-to-text:t">
                  <w:txbxContent>
                    <w:p w:rsidR="005A308C" w:rsidRDefault="005A308C" w:rsidP="005A308C">
                      <w:pPr>
                        <w:jc w:val="center"/>
                      </w:pPr>
                      <w:r>
                        <w:t>______________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C256D" w:rsidSect="00D556E6">
      <w:headerReference w:type="default" r:id="rId17"/>
      <w:pgSz w:w="16838" w:h="11906" w:orient="landscape"/>
      <w:pgMar w:top="1077" w:right="1134" w:bottom="851" w:left="1134" w:header="709" w:footer="709" w:gutter="0"/>
      <w:pgNumType w:start="3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4C0E" w:rsidRDefault="009C4C0E" w:rsidP="00393425">
      <w:r>
        <w:separator/>
      </w:r>
    </w:p>
  </w:endnote>
  <w:endnote w:type="continuationSeparator" w:id="0">
    <w:p w:rsidR="009C4C0E" w:rsidRDefault="009C4C0E" w:rsidP="00393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4C0E" w:rsidRDefault="009C4C0E" w:rsidP="00393425">
      <w:r>
        <w:separator/>
      </w:r>
    </w:p>
  </w:footnote>
  <w:footnote w:type="continuationSeparator" w:id="0">
    <w:p w:rsidR="009C4C0E" w:rsidRDefault="009C4C0E" w:rsidP="003934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521838"/>
      <w:docPartObj>
        <w:docPartGallery w:val="Page Numbers (Top of Page)"/>
        <w:docPartUnique/>
      </w:docPartObj>
    </w:sdtPr>
    <w:sdtEndPr/>
    <w:sdtContent>
      <w:p w:rsidR="00950ED9" w:rsidRDefault="009D3588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A308C">
          <w:rPr>
            <w:noProof/>
          </w:rPr>
          <w:t>43</w:t>
        </w:r>
        <w:r>
          <w:rPr>
            <w:noProof/>
          </w:rPr>
          <w:fldChar w:fldCharType="end"/>
        </w:r>
      </w:p>
    </w:sdtContent>
  </w:sdt>
  <w:p w:rsidR="00950ED9" w:rsidRDefault="00950ED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56D"/>
    <w:rsid w:val="00007693"/>
    <w:rsid w:val="000664E6"/>
    <w:rsid w:val="00081950"/>
    <w:rsid w:val="00084452"/>
    <w:rsid w:val="000A6A3A"/>
    <w:rsid w:val="001058A8"/>
    <w:rsid w:val="00120F51"/>
    <w:rsid w:val="001711E9"/>
    <w:rsid w:val="00185072"/>
    <w:rsid w:val="001A58E5"/>
    <w:rsid w:val="001B4D80"/>
    <w:rsid w:val="001F7252"/>
    <w:rsid w:val="001F7BE3"/>
    <w:rsid w:val="00210EAE"/>
    <w:rsid w:val="002D5D56"/>
    <w:rsid w:val="00356A0F"/>
    <w:rsid w:val="00393425"/>
    <w:rsid w:val="003B6ABC"/>
    <w:rsid w:val="003C3ADC"/>
    <w:rsid w:val="00404213"/>
    <w:rsid w:val="0043095B"/>
    <w:rsid w:val="00433B54"/>
    <w:rsid w:val="00473164"/>
    <w:rsid w:val="004965CA"/>
    <w:rsid w:val="004A316B"/>
    <w:rsid w:val="004B71B9"/>
    <w:rsid w:val="004B7E7F"/>
    <w:rsid w:val="004C2724"/>
    <w:rsid w:val="004C633E"/>
    <w:rsid w:val="00505107"/>
    <w:rsid w:val="00517D1A"/>
    <w:rsid w:val="005709C7"/>
    <w:rsid w:val="00582528"/>
    <w:rsid w:val="005A308C"/>
    <w:rsid w:val="005E74CB"/>
    <w:rsid w:val="005E7A31"/>
    <w:rsid w:val="00600E6A"/>
    <w:rsid w:val="00602E78"/>
    <w:rsid w:val="00635CCD"/>
    <w:rsid w:val="006875EE"/>
    <w:rsid w:val="00696C46"/>
    <w:rsid w:val="006B7282"/>
    <w:rsid w:val="006C1D77"/>
    <w:rsid w:val="007138B3"/>
    <w:rsid w:val="00736C13"/>
    <w:rsid w:val="007555D5"/>
    <w:rsid w:val="0076048E"/>
    <w:rsid w:val="0076343B"/>
    <w:rsid w:val="007B5A8A"/>
    <w:rsid w:val="007C7BF5"/>
    <w:rsid w:val="007D04C0"/>
    <w:rsid w:val="007E6CAB"/>
    <w:rsid w:val="0082063D"/>
    <w:rsid w:val="00840D0D"/>
    <w:rsid w:val="00851562"/>
    <w:rsid w:val="00883F7B"/>
    <w:rsid w:val="008F5CFD"/>
    <w:rsid w:val="009043D7"/>
    <w:rsid w:val="009432A1"/>
    <w:rsid w:val="00950ED9"/>
    <w:rsid w:val="00954BEB"/>
    <w:rsid w:val="009C4C0E"/>
    <w:rsid w:val="009D3588"/>
    <w:rsid w:val="009E5FDA"/>
    <w:rsid w:val="009E760D"/>
    <w:rsid w:val="00A112A3"/>
    <w:rsid w:val="00A4159B"/>
    <w:rsid w:val="00A440BC"/>
    <w:rsid w:val="00A46DD4"/>
    <w:rsid w:val="00A65F6F"/>
    <w:rsid w:val="00A938CC"/>
    <w:rsid w:val="00A94780"/>
    <w:rsid w:val="00AA4C34"/>
    <w:rsid w:val="00AF0334"/>
    <w:rsid w:val="00AF5F5C"/>
    <w:rsid w:val="00B62909"/>
    <w:rsid w:val="00B726B6"/>
    <w:rsid w:val="00B7505B"/>
    <w:rsid w:val="00B836B0"/>
    <w:rsid w:val="00B85537"/>
    <w:rsid w:val="00B904B5"/>
    <w:rsid w:val="00BC47B4"/>
    <w:rsid w:val="00C56289"/>
    <w:rsid w:val="00C64774"/>
    <w:rsid w:val="00C941F8"/>
    <w:rsid w:val="00D02348"/>
    <w:rsid w:val="00D556E6"/>
    <w:rsid w:val="00D55A0F"/>
    <w:rsid w:val="00E245AB"/>
    <w:rsid w:val="00E31042"/>
    <w:rsid w:val="00E436E7"/>
    <w:rsid w:val="00E871A9"/>
    <w:rsid w:val="00EB2791"/>
    <w:rsid w:val="00EB591D"/>
    <w:rsid w:val="00F0256D"/>
    <w:rsid w:val="00F05847"/>
    <w:rsid w:val="00F1469A"/>
    <w:rsid w:val="00F9469D"/>
    <w:rsid w:val="00FB2302"/>
    <w:rsid w:val="00FB425B"/>
    <w:rsid w:val="00FC22C4"/>
    <w:rsid w:val="00FC2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5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FC256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FC256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C256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256D"/>
    <w:rPr>
      <w:rFonts w:ascii="Tahoma" w:eastAsia="Times New Roman" w:hAnsi="Tahoma" w:cs="Tahoma"/>
      <w:sz w:val="16"/>
      <w:szCs w:val="16"/>
      <w:lang w:eastAsia="zh-CN"/>
    </w:rPr>
  </w:style>
  <w:style w:type="paragraph" w:styleId="a5">
    <w:name w:val="header"/>
    <w:basedOn w:val="a"/>
    <w:link w:val="a6"/>
    <w:uiPriority w:val="99"/>
    <w:unhideWhenUsed/>
    <w:rsid w:val="003934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9342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7">
    <w:name w:val="footer"/>
    <w:basedOn w:val="a"/>
    <w:link w:val="a8"/>
    <w:uiPriority w:val="99"/>
    <w:semiHidden/>
    <w:unhideWhenUsed/>
    <w:rsid w:val="003934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93425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9">
    <w:name w:val="Hyperlink"/>
    <w:basedOn w:val="a0"/>
    <w:uiPriority w:val="99"/>
    <w:unhideWhenUsed/>
    <w:rsid w:val="0082063D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A440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5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FC256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FC256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C256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256D"/>
    <w:rPr>
      <w:rFonts w:ascii="Tahoma" w:eastAsia="Times New Roman" w:hAnsi="Tahoma" w:cs="Tahoma"/>
      <w:sz w:val="16"/>
      <w:szCs w:val="16"/>
      <w:lang w:eastAsia="zh-CN"/>
    </w:rPr>
  </w:style>
  <w:style w:type="paragraph" w:styleId="a5">
    <w:name w:val="header"/>
    <w:basedOn w:val="a"/>
    <w:link w:val="a6"/>
    <w:uiPriority w:val="99"/>
    <w:unhideWhenUsed/>
    <w:rsid w:val="003934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9342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7">
    <w:name w:val="footer"/>
    <w:basedOn w:val="a"/>
    <w:link w:val="a8"/>
    <w:uiPriority w:val="99"/>
    <w:semiHidden/>
    <w:unhideWhenUsed/>
    <w:rsid w:val="003934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93425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9">
    <w:name w:val="Hyperlink"/>
    <w:basedOn w:val="a0"/>
    <w:uiPriority w:val="99"/>
    <w:unhideWhenUsed/>
    <w:rsid w:val="0082063D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A440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951B2D060B1A5045884ED050492FD690F897C43116A5AA33E6C9657005972D28A50CF4DE5FE9E18A24DCD85927E06217896B3250C71D11EtEr0I" TargetMode="External"/><Relationship Id="rId13" Type="http://schemas.openxmlformats.org/officeDocument/2006/relationships/hyperlink" Target="consultantplus://offline/ref=9951B2D060B1A5045884ED050492FD690F897C43116A5AA33E6C9657005972D28A50CF4DE5FE9A19A84DCD85927E06217896B3250C71D11EtEr0I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951B2D060B1A5045884ED050492FD690F897C43116A5AA33E6C9657005972D28A50CF4DE5FE9A19A84DCD85927E06217896B3250C71D11EtEr0I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951B2D060B1A5045884ED050492FD690F897C43116A5AA33E6C9657005972D28A50CF4DE5FE9E18A24DCD85927E06217896B3250C71D11EtEr0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9951B2D060B1A5045884ED050492FD690F897C43116A5AA33E6C9657005972D28A50CF4DE5FE9A19A84DCD85927E06217896B3250C71D11EtEr0I" TargetMode="External"/><Relationship Id="rId10" Type="http://schemas.openxmlformats.org/officeDocument/2006/relationships/hyperlink" Target="consultantplus://offline/ref=9951B2D060B1A5045884ED050492FD690F897C43116A5AA33E6C9657005972D28A50CF4DE5FE9E18A24DCD85927E06217896B3250C71D11EtEr0I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951B2D060B1A5045884ED050492FD690F897C43116A5AA33E6C9657005972D28A50CF4DE5FE9E18A24DCD85927E06217896B3250C71D11EtEr0I" TargetMode="External"/><Relationship Id="rId14" Type="http://schemas.openxmlformats.org/officeDocument/2006/relationships/hyperlink" Target="consultantplus://offline/ref=9951B2D060B1A5045884ED050492FD690F897C43116A5AA33E6C9657005972D28A50CF4DE5FE9A19A84DCD85927E06217896B3250C71D11EtEr0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75FA12-8235-41B6-9A31-102BA1DF4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8</Pages>
  <Words>2335</Words>
  <Characters>13316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artemeva</dc:creator>
  <cp:lastModifiedBy>slobodina_ai</cp:lastModifiedBy>
  <cp:revision>20</cp:revision>
  <cp:lastPrinted>2019-12-20T12:42:00Z</cp:lastPrinted>
  <dcterms:created xsi:type="dcterms:W3CDTF">2019-11-06T11:08:00Z</dcterms:created>
  <dcterms:modified xsi:type="dcterms:W3CDTF">2019-12-26T10:31:00Z</dcterms:modified>
</cp:coreProperties>
</file>